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0239" w14:textId="009AF755" w:rsidR="00725152" w:rsidRDefault="00313514" w:rsidP="00725152">
      <w:r>
        <w:rPr>
          <w:noProof/>
        </w:rPr>
        <w:drawing>
          <wp:anchor distT="0" distB="0" distL="114300" distR="114300" simplePos="0" relativeHeight="251658240" behindDoc="1" locked="0" layoutInCell="1" allowOverlap="1" wp14:anchorId="540F376B" wp14:editId="2C3E22D4">
            <wp:simplePos x="0" y="0"/>
            <wp:positionH relativeFrom="column">
              <wp:posOffset>31115</wp:posOffset>
            </wp:positionH>
            <wp:positionV relativeFrom="paragraph">
              <wp:posOffset>-548005</wp:posOffset>
            </wp:positionV>
            <wp:extent cx="2123514" cy="941294"/>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3514" cy="941294"/>
                    </a:xfrm>
                    <a:prstGeom prst="rect">
                      <a:avLst/>
                    </a:prstGeom>
                  </pic:spPr>
                </pic:pic>
              </a:graphicData>
            </a:graphic>
            <wp14:sizeRelH relativeFrom="page">
              <wp14:pctWidth>0</wp14:pctWidth>
            </wp14:sizeRelH>
            <wp14:sizeRelV relativeFrom="page">
              <wp14:pctHeight>0</wp14:pctHeight>
            </wp14:sizeRelV>
          </wp:anchor>
        </w:drawing>
      </w:r>
    </w:p>
    <w:p w14:paraId="3895DEC7" w14:textId="1934F745" w:rsidR="00313514" w:rsidRPr="00A0358B" w:rsidRDefault="00BC3D57" w:rsidP="00A0358B">
      <w:pPr>
        <w:pStyle w:val="Heading1"/>
        <w:jc w:val="right"/>
        <w:rPr>
          <w:color w:val="E36C0A" w:themeColor="accent6" w:themeShade="BF"/>
        </w:rPr>
      </w:pPr>
      <w:r w:rsidRPr="00313514">
        <w:rPr>
          <w:color w:val="E36C0A" w:themeColor="accent6" w:themeShade="BF"/>
        </w:rPr>
        <w:t xml:space="preserve">Job </w:t>
      </w:r>
      <w:r w:rsidR="003311A5" w:rsidRPr="00313514">
        <w:rPr>
          <w:color w:val="E36C0A" w:themeColor="accent6" w:themeShade="BF"/>
        </w:rPr>
        <w:t>d</w:t>
      </w:r>
      <w:r w:rsidRPr="00313514">
        <w:rPr>
          <w:color w:val="E36C0A" w:themeColor="accent6" w:themeShade="BF"/>
        </w:rPr>
        <w:t>escription</w:t>
      </w:r>
    </w:p>
    <w:tbl>
      <w:tblPr>
        <w:tblStyle w:val="TableGrid"/>
        <w:tblW w:w="5000" w:type="pct"/>
        <w:tblLook w:val="04A0" w:firstRow="1" w:lastRow="0" w:firstColumn="1" w:lastColumn="0" w:noHBand="0" w:noVBand="1"/>
      </w:tblPr>
      <w:tblGrid>
        <w:gridCol w:w="2477"/>
        <w:gridCol w:w="7259"/>
      </w:tblGrid>
      <w:tr w:rsidR="001A3587" w:rsidRPr="001A3587" w14:paraId="7DDE0509" w14:textId="77777777" w:rsidTr="24078BD4">
        <w:tc>
          <w:tcPr>
            <w:tcW w:w="5000" w:type="pct"/>
            <w:gridSpan w:val="2"/>
            <w:tcMar>
              <w:top w:w="108" w:type="dxa"/>
              <w:bottom w:w="108" w:type="dxa"/>
            </w:tcMar>
            <w:vAlign w:val="center"/>
          </w:tcPr>
          <w:p w14:paraId="76A6F3A5" w14:textId="1BB93708" w:rsidR="001A3587" w:rsidRPr="001A3587" w:rsidRDefault="001A3587" w:rsidP="00C53ACD">
            <w:pPr>
              <w:rPr>
                <w:rFonts w:cs="Arial"/>
                <w:sz w:val="18"/>
                <w:szCs w:val="20"/>
              </w:rPr>
            </w:pPr>
            <w:r w:rsidRPr="00313514">
              <w:rPr>
                <w:rFonts w:cs="Arial"/>
                <w:b/>
                <w:i/>
                <w:color w:val="E36C0A" w:themeColor="accent6" w:themeShade="BF"/>
                <w:sz w:val="18"/>
                <w:szCs w:val="20"/>
              </w:rPr>
              <w:t xml:space="preserve">Job Descriptions will be reviewed </w:t>
            </w:r>
            <w:r w:rsidR="000E48DD">
              <w:rPr>
                <w:rFonts w:cs="Arial"/>
                <w:b/>
                <w:i/>
                <w:color w:val="E36C0A" w:themeColor="accent6" w:themeShade="BF"/>
                <w:sz w:val="18"/>
                <w:szCs w:val="20"/>
              </w:rPr>
              <w:t xml:space="preserve">annually </w:t>
            </w:r>
          </w:p>
        </w:tc>
      </w:tr>
      <w:tr w:rsidR="00BC3D57" w:rsidRPr="00BC1C74" w14:paraId="238EB88E" w14:textId="77777777" w:rsidTr="24078BD4">
        <w:tc>
          <w:tcPr>
            <w:tcW w:w="1272" w:type="pct"/>
            <w:tcMar>
              <w:top w:w="108" w:type="dxa"/>
              <w:bottom w:w="108" w:type="dxa"/>
            </w:tcMar>
            <w:vAlign w:val="center"/>
          </w:tcPr>
          <w:p w14:paraId="00538361" w14:textId="77777777" w:rsidR="00BC3D57" w:rsidRPr="005064ED" w:rsidRDefault="00BC3D57" w:rsidP="002C487D">
            <w:pPr>
              <w:pStyle w:val="Heading2"/>
              <w:outlineLvl w:val="1"/>
              <w:rPr>
                <w:color w:val="E36C0A" w:themeColor="accent6" w:themeShade="BF"/>
              </w:rPr>
            </w:pPr>
            <w:r w:rsidRPr="005064ED">
              <w:rPr>
                <w:color w:val="E36C0A" w:themeColor="accent6" w:themeShade="BF"/>
              </w:rPr>
              <w:t xml:space="preserve">Job </w:t>
            </w:r>
            <w:r w:rsidR="003311A5" w:rsidRPr="005064ED">
              <w:rPr>
                <w:color w:val="E36C0A" w:themeColor="accent6" w:themeShade="BF"/>
              </w:rPr>
              <w:t>t</w:t>
            </w:r>
            <w:r w:rsidRPr="005064ED">
              <w:rPr>
                <w:color w:val="E36C0A" w:themeColor="accent6" w:themeShade="BF"/>
              </w:rPr>
              <w:t>itle</w:t>
            </w:r>
          </w:p>
        </w:tc>
        <w:tc>
          <w:tcPr>
            <w:tcW w:w="3728" w:type="pct"/>
            <w:tcMar>
              <w:top w:w="108" w:type="dxa"/>
              <w:bottom w:w="108" w:type="dxa"/>
            </w:tcMar>
            <w:vAlign w:val="center"/>
          </w:tcPr>
          <w:p w14:paraId="1EE3C87A" w14:textId="731660B3" w:rsidR="002C66CB" w:rsidRPr="005064ED" w:rsidRDefault="003C675E" w:rsidP="00C53ACD">
            <w:pPr>
              <w:rPr>
                <w:rFonts w:cs="Arial"/>
                <w:b/>
                <w:szCs w:val="20"/>
              </w:rPr>
            </w:pPr>
            <w:r w:rsidRPr="005064ED">
              <w:rPr>
                <w:rFonts w:cs="Arial"/>
                <w:b/>
                <w:szCs w:val="20"/>
              </w:rPr>
              <w:t>Learning Manager</w:t>
            </w:r>
          </w:p>
        </w:tc>
      </w:tr>
      <w:tr w:rsidR="001A3587" w:rsidRPr="009B5050" w14:paraId="5C02D875" w14:textId="77777777" w:rsidTr="24078BD4">
        <w:tc>
          <w:tcPr>
            <w:tcW w:w="1272" w:type="pct"/>
            <w:tcMar>
              <w:top w:w="108" w:type="dxa"/>
              <w:bottom w:w="108" w:type="dxa"/>
            </w:tcMar>
            <w:vAlign w:val="center"/>
          </w:tcPr>
          <w:p w14:paraId="0377630E" w14:textId="70B6D47B" w:rsidR="001A3587" w:rsidRPr="00313514" w:rsidRDefault="001A3587" w:rsidP="002C487D">
            <w:pPr>
              <w:pStyle w:val="Heading2"/>
              <w:outlineLvl w:val="1"/>
              <w:rPr>
                <w:color w:val="E36C0A" w:themeColor="accent6" w:themeShade="BF"/>
              </w:rPr>
            </w:pPr>
            <w:r w:rsidRPr="00313514">
              <w:rPr>
                <w:color w:val="E36C0A" w:themeColor="accent6" w:themeShade="BF"/>
              </w:rPr>
              <w:t>Programme</w:t>
            </w:r>
          </w:p>
        </w:tc>
        <w:tc>
          <w:tcPr>
            <w:tcW w:w="3728" w:type="pct"/>
            <w:tcMar>
              <w:top w:w="108" w:type="dxa"/>
              <w:bottom w:w="108" w:type="dxa"/>
            </w:tcMar>
            <w:vAlign w:val="center"/>
          </w:tcPr>
          <w:p w14:paraId="161FC630" w14:textId="5D6ED0A3" w:rsidR="001A3587" w:rsidRPr="003C675E" w:rsidRDefault="000E48DD" w:rsidP="00C53ACD">
            <w:pPr>
              <w:rPr>
                <w:rFonts w:cs="Arial"/>
                <w:szCs w:val="20"/>
                <w:lang w:val="fr-FR"/>
              </w:rPr>
            </w:pPr>
            <w:r w:rsidRPr="003C675E">
              <w:rPr>
                <w:rFonts w:eastAsia="Calibri"/>
                <w:szCs w:val="20"/>
                <w:lang w:val="fr-FR"/>
              </w:rPr>
              <w:t>Ghana</w:t>
            </w:r>
            <w:r w:rsidR="00D52113" w:rsidRPr="003C675E">
              <w:rPr>
                <w:rFonts w:eastAsia="Calibri"/>
                <w:szCs w:val="20"/>
                <w:lang w:val="fr-FR"/>
              </w:rPr>
              <w:t xml:space="preserve"> </w:t>
            </w:r>
            <w:proofErr w:type="spellStart"/>
            <w:r w:rsidR="004F7394" w:rsidRPr="003C675E">
              <w:rPr>
                <w:rFonts w:eastAsia="Calibri"/>
                <w:szCs w:val="20"/>
                <w:lang w:val="fr-FR"/>
              </w:rPr>
              <w:t>Somubi</w:t>
            </w:r>
            <w:proofErr w:type="spellEnd"/>
            <w:r w:rsidR="004F7394" w:rsidRPr="003C675E">
              <w:rPr>
                <w:rFonts w:eastAsia="Calibri"/>
                <w:szCs w:val="20"/>
                <w:lang w:val="fr-FR"/>
              </w:rPr>
              <w:t xml:space="preserve"> </w:t>
            </w:r>
            <w:proofErr w:type="spellStart"/>
            <w:r w:rsidR="004F7394" w:rsidRPr="003C675E">
              <w:rPr>
                <w:rFonts w:eastAsia="Calibri"/>
                <w:szCs w:val="20"/>
                <w:lang w:val="fr-FR"/>
              </w:rPr>
              <w:t>Dwumadie</w:t>
            </w:r>
            <w:proofErr w:type="spellEnd"/>
            <w:r w:rsidR="004F7394" w:rsidRPr="003C675E">
              <w:rPr>
                <w:rFonts w:eastAsia="Calibri"/>
                <w:szCs w:val="20"/>
                <w:lang w:val="fr-FR"/>
              </w:rPr>
              <w:t xml:space="preserve"> Programme (</w:t>
            </w:r>
            <w:r w:rsidRPr="003C675E">
              <w:rPr>
                <w:rFonts w:eastAsia="Calibri"/>
                <w:szCs w:val="20"/>
                <w:lang w:val="fr-FR"/>
              </w:rPr>
              <w:t>Ghana Participation</w:t>
            </w:r>
            <w:r w:rsidR="00BA1409" w:rsidRPr="003C675E">
              <w:rPr>
                <w:rFonts w:eastAsia="Calibri"/>
                <w:szCs w:val="20"/>
                <w:lang w:val="fr-FR"/>
              </w:rPr>
              <w:t xml:space="preserve"> Programme</w:t>
            </w:r>
            <w:r w:rsidR="004F7394" w:rsidRPr="003C675E">
              <w:rPr>
                <w:rFonts w:eastAsia="Calibri"/>
                <w:szCs w:val="20"/>
                <w:lang w:val="fr-FR"/>
              </w:rPr>
              <w:t>)</w:t>
            </w:r>
          </w:p>
        </w:tc>
      </w:tr>
      <w:tr w:rsidR="00804172" w:rsidRPr="00BC1C74" w14:paraId="2CF8DFFD" w14:textId="77777777" w:rsidTr="24078BD4">
        <w:tc>
          <w:tcPr>
            <w:tcW w:w="1272" w:type="pct"/>
            <w:tcMar>
              <w:top w:w="108" w:type="dxa"/>
              <w:bottom w:w="108" w:type="dxa"/>
            </w:tcMar>
            <w:vAlign w:val="center"/>
          </w:tcPr>
          <w:p w14:paraId="30744C64" w14:textId="77777777" w:rsidR="00804172" w:rsidRPr="00313514" w:rsidRDefault="00804172" w:rsidP="002C487D">
            <w:pPr>
              <w:pStyle w:val="Heading2"/>
              <w:outlineLvl w:val="1"/>
              <w:rPr>
                <w:color w:val="E36C0A" w:themeColor="accent6" w:themeShade="BF"/>
              </w:rPr>
            </w:pPr>
            <w:r w:rsidRPr="00313514">
              <w:rPr>
                <w:color w:val="E36C0A" w:themeColor="accent6" w:themeShade="BF"/>
              </w:rPr>
              <w:t>Location</w:t>
            </w:r>
          </w:p>
        </w:tc>
        <w:tc>
          <w:tcPr>
            <w:tcW w:w="3728" w:type="pct"/>
            <w:tcMar>
              <w:top w:w="108" w:type="dxa"/>
              <w:bottom w:w="108" w:type="dxa"/>
            </w:tcMar>
            <w:vAlign w:val="center"/>
          </w:tcPr>
          <w:p w14:paraId="78A354CB" w14:textId="32368E4B" w:rsidR="00B752B5" w:rsidRPr="00D50999" w:rsidRDefault="00875CD6" w:rsidP="00B752B5">
            <w:pPr>
              <w:rPr>
                <w:rFonts w:cs="Arial"/>
                <w:szCs w:val="20"/>
              </w:rPr>
            </w:pPr>
            <w:r>
              <w:rPr>
                <w:rFonts w:cs="Arial"/>
                <w:szCs w:val="20"/>
              </w:rPr>
              <w:t>Accra, Ghana</w:t>
            </w:r>
            <w:r w:rsidR="003D7D2E">
              <w:rPr>
                <w:rFonts w:cs="Arial"/>
                <w:szCs w:val="20"/>
              </w:rPr>
              <w:t xml:space="preserve"> </w:t>
            </w:r>
          </w:p>
        </w:tc>
      </w:tr>
      <w:tr w:rsidR="00BC3D57" w:rsidRPr="00BC1C74" w14:paraId="79D6DBEF" w14:textId="77777777" w:rsidTr="24078BD4">
        <w:tc>
          <w:tcPr>
            <w:tcW w:w="1272" w:type="pct"/>
            <w:tcMar>
              <w:top w:w="108" w:type="dxa"/>
              <w:bottom w:w="108" w:type="dxa"/>
            </w:tcMar>
            <w:vAlign w:val="center"/>
          </w:tcPr>
          <w:p w14:paraId="62B5CAA5" w14:textId="77777777" w:rsidR="00BC3D57" w:rsidRPr="00313514" w:rsidRDefault="00E62DC3" w:rsidP="002C487D">
            <w:pPr>
              <w:pStyle w:val="Heading2"/>
              <w:outlineLvl w:val="1"/>
              <w:rPr>
                <w:color w:val="E36C0A" w:themeColor="accent6" w:themeShade="BF"/>
              </w:rPr>
            </w:pPr>
            <w:r w:rsidRPr="00313514">
              <w:rPr>
                <w:color w:val="E36C0A" w:themeColor="accent6" w:themeShade="BF"/>
              </w:rPr>
              <w:t>Reporting to</w:t>
            </w:r>
          </w:p>
        </w:tc>
        <w:tc>
          <w:tcPr>
            <w:tcW w:w="3728" w:type="pct"/>
            <w:tcMar>
              <w:top w:w="108" w:type="dxa"/>
              <w:bottom w:w="108" w:type="dxa"/>
            </w:tcMar>
            <w:vAlign w:val="center"/>
          </w:tcPr>
          <w:p w14:paraId="732BFEB2" w14:textId="3C88B5ED" w:rsidR="00BC3D57" w:rsidRPr="00D50999" w:rsidRDefault="000E48DD" w:rsidP="003311A5">
            <w:pPr>
              <w:rPr>
                <w:rFonts w:cs="Arial"/>
                <w:szCs w:val="20"/>
              </w:rPr>
            </w:pPr>
            <w:r>
              <w:rPr>
                <w:rFonts w:cs="Arial"/>
                <w:szCs w:val="20"/>
              </w:rPr>
              <w:t>Programme Monitoring, Evaluation and Learning (MEL) Advisor</w:t>
            </w:r>
          </w:p>
        </w:tc>
      </w:tr>
      <w:tr w:rsidR="00912A5F" w:rsidRPr="00BC1C74" w14:paraId="3728D5A7" w14:textId="77777777" w:rsidTr="24078BD4">
        <w:tc>
          <w:tcPr>
            <w:tcW w:w="1272" w:type="pct"/>
            <w:tcMar>
              <w:top w:w="108" w:type="dxa"/>
              <w:bottom w:w="108" w:type="dxa"/>
            </w:tcMar>
            <w:vAlign w:val="center"/>
          </w:tcPr>
          <w:p w14:paraId="42C067F8" w14:textId="77777777" w:rsidR="00912A5F" w:rsidRPr="00313514" w:rsidRDefault="00912A5F" w:rsidP="002C487D">
            <w:pPr>
              <w:pStyle w:val="Heading2"/>
              <w:outlineLvl w:val="1"/>
              <w:rPr>
                <w:color w:val="E36C0A" w:themeColor="accent6" w:themeShade="BF"/>
              </w:rPr>
            </w:pPr>
            <w:r w:rsidRPr="00313514">
              <w:rPr>
                <w:color w:val="E36C0A" w:themeColor="accent6" w:themeShade="BF"/>
              </w:rPr>
              <w:t>Responsible for</w:t>
            </w:r>
          </w:p>
        </w:tc>
        <w:tc>
          <w:tcPr>
            <w:tcW w:w="3728" w:type="pct"/>
            <w:tcMar>
              <w:top w:w="108" w:type="dxa"/>
              <w:bottom w:w="108" w:type="dxa"/>
            </w:tcMar>
            <w:vAlign w:val="center"/>
          </w:tcPr>
          <w:p w14:paraId="6A617094" w14:textId="183EC302" w:rsidR="00912A5F" w:rsidRPr="00D50999" w:rsidRDefault="00A72600" w:rsidP="003311A5">
            <w:pPr>
              <w:rPr>
                <w:rFonts w:cs="Arial"/>
                <w:szCs w:val="20"/>
              </w:rPr>
            </w:pPr>
            <w:r>
              <w:rPr>
                <w:rFonts w:cs="Arial"/>
                <w:szCs w:val="20"/>
              </w:rPr>
              <w:t>N/A</w:t>
            </w:r>
          </w:p>
        </w:tc>
      </w:tr>
      <w:tr w:rsidR="00BC3D57" w:rsidRPr="00BC1C74" w14:paraId="7CB48AEF" w14:textId="77777777" w:rsidTr="24078BD4">
        <w:tc>
          <w:tcPr>
            <w:tcW w:w="1272" w:type="pct"/>
            <w:tcMar>
              <w:top w:w="108" w:type="dxa"/>
              <w:bottom w:w="108" w:type="dxa"/>
            </w:tcMar>
            <w:vAlign w:val="center"/>
          </w:tcPr>
          <w:p w14:paraId="3499331F" w14:textId="77777777" w:rsidR="00BC3D57" w:rsidRPr="00313514" w:rsidRDefault="00BC3D57" w:rsidP="002C487D">
            <w:pPr>
              <w:pStyle w:val="Heading2"/>
              <w:outlineLvl w:val="1"/>
              <w:rPr>
                <w:color w:val="E36C0A" w:themeColor="accent6" w:themeShade="BF"/>
              </w:rPr>
            </w:pPr>
            <w:r w:rsidRPr="00313514">
              <w:rPr>
                <w:color w:val="E36C0A" w:themeColor="accent6" w:themeShade="BF"/>
              </w:rPr>
              <w:t>Liaison with</w:t>
            </w:r>
          </w:p>
        </w:tc>
        <w:tc>
          <w:tcPr>
            <w:tcW w:w="3728" w:type="pct"/>
            <w:tcMar>
              <w:top w:w="108" w:type="dxa"/>
              <w:bottom w:w="108" w:type="dxa"/>
            </w:tcMar>
            <w:vAlign w:val="center"/>
          </w:tcPr>
          <w:p w14:paraId="744B02BA" w14:textId="3342C56C" w:rsidR="00FD43D3" w:rsidRPr="00D50999" w:rsidRDefault="001A3587" w:rsidP="001A3587">
            <w:pPr>
              <w:rPr>
                <w:rFonts w:cs="Arial"/>
                <w:szCs w:val="20"/>
              </w:rPr>
            </w:pPr>
            <w:r>
              <w:t xml:space="preserve">Other members of the </w:t>
            </w:r>
            <w:r w:rsidR="000E48DD">
              <w:t xml:space="preserve">Ghana </w:t>
            </w:r>
            <w:proofErr w:type="spellStart"/>
            <w:r w:rsidR="000E48DD">
              <w:t>Somubi</w:t>
            </w:r>
            <w:proofErr w:type="spellEnd"/>
            <w:r w:rsidR="000E48DD">
              <w:t xml:space="preserve"> </w:t>
            </w:r>
            <w:proofErr w:type="spellStart"/>
            <w:r w:rsidR="000E48DD">
              <w:t>Dwumadie</w:t>
            </w:r>
            <w:proofErr w:type="spellEnd"/>
            <w:r w:rsidR="000E48DD">
              <w:t xml:space="preserve"> programme teams</w:t>
            </w:r>
            <w:r>
              <w:t xml:space="preserve">, other members of the programme consortium </w:t>
            </w:r>
            <w:r w:rsidR="00313514">
              <w:t>and grants implementing partners</w:t>
            </w:r>
          </w:p>
        </w:tc>
      </w:tr>
      <w:tr w:rsidR="00991B89" w:rsidRPr="00BC1C74" w14:paraId="454C2E15" w14:textId="77777777" w:rsidTr="24078BD4">
        <w:tc>
          <w:tcPr>
            <w:tcW w:w="1272" w:type="pct"/>
            <w:tcMar>
              <w:top w:w="108" w:type="dxa"/>
              <w:bottom w:w="108" w:type="dxa"/>
            </w:tcMar>
            <w:vAlign w:val="center"/>
          </w:tcPr>
          <w:p w14:paraId="3542EC49" w14:textId="77777777" w:rsidR="00991B89" w:rsidRPr="00313514" w:rsidRDefault="00991B89" w:rsidP="002C487D">
            <w:pPr>
              <w:pStyle w:val="Heading2"/>
              <w:outlineLvl w:val="1"/>
              <w:rPr>
                <w:color w:val="E36C0A" w:themeColor="accent6" w:themeShade="BF"/>
              </w:rPr>
            </w:pPr>
            <w:r w:rsidRPr="00313514">
              <w:rPr>
                <w:color w:val="E36C0A" w:themeColor="accent6" w:themeShade="BF"/>
              </w:rPr>
              <w:t>Hours</w:t>
            </w:r>
          </w:p>
        </w:tc>
        <w:tc>
          <w:tcPr>
            <w:tcW w:w="3728" w:type="pct"/>
            <w:tcMar>
              <w:top w:w="108" w:type="dxa"/>
              <w:bottom w:w="108" w:type="dxa"/>
            </w:tcMar>
            <w:vAlign w:val="center"/>
          </w:tcPr>
          <w:p w14:paraId="636F70ED" w14:textId="239C8878" w:rsidR="00991B89" w:rsidRPr="00D50999" w:rsidRDefault="000E48DD" w:rsidP="003311A5">
            <w:pPr>
              <w:rPr>
                <w:rFonts w:cs="Arial"/>
                <w:szCs w:val="20"/>
              </w:rPr>
            </w:pPr>
            <w:r>
              <w:rPr>
                <w:rFonts w:cs="Arial"/>
                <w:szCs w:val="20"/>
              </w:rPr>
              <w:t>40 hours</w:t>
            </w:r>
          </w:p>
        </w:tc>
      </w:tr>
      <w:tr w:rsidR="006D0A62" w:rsidRPr="00BC1C74" w14:paraId="5F3F6846" w14:textId="77777777" w:rsidTr="24078BD4">
        <w:tc>
          <w:tcPr>
            <w:tcW w:w="1272" w:type="pct"/>
            <w:tcMar>
              <w:top w:w="108" w:type="dxa"/>
              <w:bottom w:w="108" w:type="dxa"/>
            </w:tcMar>
            <w:vAlign w:val="center"/>
          </w:tcPr>
          <w:p w14:paraId="1690AA62" w14:textId="77777777" w:rsidR="006D0A62" w:rsidRPr="00313514" w:rsidRDefault="006D0A62" w:rsidP="002C487D">
            <w:pPr>
              <w:pStyle w:val="Heading2"/>
              <w:outlineLvl w:val="1"/>
              <w:rPr>
                <w:color w:val="E36C0A" w:themeColor="accent6" w:themeShade="BF"/>
              </w:rPr>
            </w:pPr>
            <w:r w:rsidRPr="00313514">
              <w:rPr>
                <w:color w:val="E36C0A" w:themeColor="accent6" w:themeShade="BF"/>
              </w:rPr>
              <w:t>Type of contract</w:t>
            </w:r>
          </w:p>
        </w:tc>
        <w:tc>
          <w:tcPr>
            <w:tcW w:w="3728" w:type="pct"/>
            <w:tcMar>
              <w:top w:w="108" w:type="dxa"/>
              <w:bottom w:w="108" w:type="dxa"/>
            </w:tcMar>
            <w:vAlign w:val="center"/>
          </w:tcPr>
          <w:p w14:paraId="46E52168" w14:textId="30B8344F" w:rsidR="006D0A62" w:rsidRPr="00D50999" w:rsidRDefault="003E3137" w:rsidP="005F19D6">
            <w:pPr>
              <w:rPr>
                <w:rFonts w:cs="Arial"/>
                <w:szCs w:val="20"/>
              </w:rPr>
            </w:pPr>
            <w:r>
              <w:rPr>
                <w:rFonts w:cs="Arial"/>
                <w:szCs w:val="20"/>
              </w:rPr>
              <w:t>Full time, Fixed Term Contract</w:t>
            </w:r>
            <w:r w:rsidR="003C675E">
              <w:rPr>
                <w:rFonts w:cs="Arial"/>
                <w:szCs w:val="20"/>
              </w:rPr>
              <w:t xml:space="preserve"> – 1 year</w:t>
            </w:r>
          </w:p>
        </w:tc>
      </w:tr>
      <w:tr w:rsidR="00BC3D57" w:rsidRPr="00BC1C74" w14:paraId="1B7F3B0F" w14:textId="77777777" w:rsidTr="24078BD4">
        <w:tc>
          <w:tcPr>
            <w:tcW w:w="5000" w:type="pct"/>
            <w:gridSpan w:val="2"/>
            <w:tcMar>
              <w:top w:w="108" w:type="dxa"/>
              <w:bottom w:w="108" w:type="dxa"/>
            </w:tcMar>
            <w:vAlign w:val="center"/>
          </w:tcPr>
          <w:p w14:paraId="1E9028F0" w14:textId="77777777" w:rsidR="00BC3D57" w:rsidRPr="00BC1C74" w:rsidRDefault="00E62DC3" w:rsidP="003311A5">
            <w:pPr>
              <w:rPr>
                <w:rFonts w:cs="Arial"/>
              </w:rPr>
            </w:pPr>
            <w:r w:rsidRPr="00313514">
              <w:rPr>
                <w:rFonts w:cs="Arial"/>
                <w:b/>
                <w:color w:val="E36C0A" w:themeColor="accent6" w:themeShade="BF"/>
              </w:rPr>
              <w:t>Organisation</w:t>
            </w:r>
          </w:p>
        </w:tc>
      </w:tr>
      <w:tr w:rsidR="00EB3659" w:rsidRPr="00BC1C74" w14:paraId="6ABF1FB4" w14:textId="77777777" w:rsidTr="24078BD4">
        <w:tc>
          <w:tcPr>
            <w:tcW w:w="5000" w:type="pct"/>
            <w:gridSpan w:val="2"/>
            <w:tcMar>
              <w:top w:w="108" w:type="dxa"/>
              <w:bottom w:w="108" w:type="dxa"/>
            </w:tcMar>
          </w:tcPr>
          <w:p w14:paraId="2EC80A63" w14:textId="55D0F255" w:rsidR="00081568" w:rsidRPr="000169F0" w:rsidRDefault="00313514" w:rsidP="00081568">
            <w:pPr>
              <w:jc w:val="both"/>
              <w:rPr>
                <w:rFonts w:cs="Arial"/>
                <w:szCs w:val="20"/>
              </w:rPr>
            </w:pPr>
            <w:r>
              <w:rPr>
                <w:szCs w:val="20"/>
              </w:rPr>
              <w:t xml:space="preserve">Tropical Health is an international consultancy group focusing on monitoring, evaluation, research and learning in health and related sectors in Africa and Asia. </w:t>
            </w:r>
            <w:r w:rsidR="00081568" w:rsidRPr="00CC7D2C">
              <w:rPr>
                <w:rFonts w:cs="Arial"/>
                <w:szCs w:val="20"/>
              </w:rPr>
              <w:t xml:space="preserve">We offer comprehensive services in the area of M&amp;E and </w:t>
            </w:r>
            <w:r w:rsidR="00081568" w:rsidRPr="000169F0">
              <w:rPr>
                <w:rFonts w:cs="Arial"/>
                <w:szCs w:val="20"/>
              </w:rPr>
              <w:t>operational research that range across:</w:t>
            </w:r>
            <w:r w:rsidR="00081568">
              <w:rPr>
                <w:rFonts w:cs="Arial"/>
                <w:szCs w:val="20"/>
              </w:rPr>
              <w:t xml:space="preserve"> </w:t>
            </w:r>
          </w:p>
          <w:p w14:paraId="4B4348F6" w14:textId="12ADB8A3" w:rsidR="00081568" w:rsidRPr="000169F0" w:rsidRDefault="00081568" w:rsidP="24078BD4">
            <w:pPr>
              <w:numPr>
                <w:ilvl w:val="0"/>
                <w:numId w:val="9"/>
              </w:numPr>
              <w:contextualSpacing/>
              <w:rPr>
                <w:rFonts w:cs="Arial"/>
              </w:rPr>
            </w:pPr>
            <w:r w:rsidRPr="24078BD4">
              <w:rPr>
                <w:rFonts w:cs="Arial"/>
              </w:rPr>
              <w:t xml:space="preserve">Developing, reviewing, supporting the implementation and reporting against </w:t>
            </w:r>
            <w:r w:rsidR="73F0BFAB" w:rsidRPr="24078BD4">
              <w:rPr>
                <w:rFonts w:cs="Arial"/>
              </w:rPr>
              <w:t>results-based</w:t>
            </w:r>
            <w:r w:rsidRPr="24078BD4">
              <w:rPr>
                <w:rFonts w:cs="Arial"/>
              </w:rPr>
              <w:t xml:space="preserve"> monitoring frameworks at programme, country, regional and global levels.</w:t>
            </w:r>
          </w:p>
          <w:p w14:paraId="6F52ECC4" w14:textId="77777777" w:rsidR="00081568" w:rsidRPr="000169F0" w:rsidRDefault="00081568" w:rsidP="00081568">
            <w:pPr>
              <w:numPr>
                <w:ilvl w:val="0"/>
                <w:numId w:val="9"/>
              </w:numPr>
              <w:contextualSpacing/>
              <w:rPr>
                <w:rFonts w:cs="Arial"/>
                <w:szCs w:val="20"/>
              </w:rPr>
            </w:pPr>
            <w:r w:rsidRPr="000169F0">
              <w:rPr>
                <w:rFonts w:cs="Arial"/>
                <w:szCs w:val="20"/>
              </w:rPr>
              <w:t>Designing and supporting implementation of surveillance systems and facilitating improvements of routine health management information systems.</w:t>
            </w:r>
          </w:p>
          <w:p w14:paraId="5B520E84" w14:textId="77777777" w:rsidR="00081568" w:rsidRPr="000169F0" w:rsidRDefault="00081568" w:rsidP="00081568">
            <w:pPr>
              <w:numPr>
                <w:ilvl w:val="0"/>
                <w:numId w:val="9"/>
              </w:numPr>
              <w:contextualSpacing/>
              <w:rPr>
                <w:rFonts w:cs="Arial"/>
                <w:szCs w:val="20"/>
              </w:rPr>
            </w:pPr>
            <w:r w:rsidRPr="000169F0">
              <w:rPr>
                <w:rFonts w:cs="Arial"/>
                <w:szCs w:val="20"/>
              </w:rPr>
              <w:t>Designing, implementing, interpreting and disseminating the results of various types of representative surveys, operations research and comparative studies.</w:t>
            </w:r>
          </w:p>
          <w:p w14:paraId="7603CCC5" w14:textId="77777777" w:rsidR="00081568" w:rsidRPr="000169F0" w:rsidRDefault="00081568" w:rsidP="00081568">
            <w:pPr>
              <w:numPr>
                <w:ilvl w:val="0"/>
                <w:numId w:val="9"/>
              </w:numPr>
              <w:contextualSpacing/>
              <w:rPr>
                <w:rFonts w:cs="Arial"/>
                <w:szCs w:val="20"/>
              </w:rPr>
            </w:pPr>
            <w:r w:rsidRPr="000169F0">
              <w:rPr>
                <w:rFonts w:cs="Arial"/>
                <w:szCs w:val="20"/>
              </w:rPr>
              <w:t>Undertaking various types of evaluations and reviews of health interventions and programmes for programmes design improvement and planning.</w:t>
            </w:r>
          </w:p>
          <w:p w14:paraId="0AD39436" w14:textId="77777777" w:rsidR="00081568" w:rsidRPr="000169F0" w:rsidRDefault="00081568" w:rsidP="00081568">
            <w:pPr>
              <w:numPr>
                <w:ilvl w:val="0"/>
                <w:numId w:val="9"/>
              </w:numPr>
              <w:contextualSpacing/>
              <w:rPr>
                <w:rFonts w:cs="Arial"/>
                <w:szCs w:val="20"/>
              </w:rPr>
            </w:pPr>
            <w:r w:rsidRPr="000169F0">
              <w:rPr>
                <w:rFonts w:cs="Arial"/>
                <w:szCs w:val="20"/>
              </w:rPr>
              <w:t>Synthesizing and presenting evidence on key health issues and impact of health interventions and programmes to a variety of audiences.</w:t>
            </w:r>
          </w:p>
          <w:p w14:paraId="71E98BCB" w14:textId="77777777" w:rsidR="00081568" w:rsidRPr="00CC7D2C" w:rsidRDefault="00081568" w:rsidP="00081568">
            <w:pPr>
              <w:rPr>
                <w:rFonts w:cs="Arial"/>
                <w:szCs w:val="20"/>
              </w:rPr>
            </w:pPr>
          </w:p>
          <w:p w14:paraId="102E77A6" w14:textId="77777777" w:rsidR="009F4A32" w:rsidRDefault="00081568" w:rsidP="00081568">
            <w:pPr>
              <w:rPr>
                <w:rFonts w:eastAsia="HGMinchoB" w:cs="Arial"/>
                <w:szCs w:val="20"/>
                <w:lang w:eastAsia="en-GB"/>
              </w:rPr>
            </w:pPr>
            <w:r w:rsidRPr="00CC7D2C">
              <w:rPr>
                <w:rFonts w:eastAsia="HGMinchoB" w:cs="Arial"/>
                <w:szCs w:val="20"/>
                <w:lang w:eastAsia="en-GB"/>
              </w:rPr>
              <w:t>We work in the areas of comprehensive health sector reform and service provision as well as in specialised areas such as maternal, neonatal and child health</w:t>
            </w:r>
            <w:r>
              <w:rPr>
                <w:rFonts w:eastAsia="HGMinchoB" w:cs="Arial"/>
                <w:szCs w:val="20"/>
                <w:lang w:eastAsia="en-GB"/>
              </w:rPr>
              <w:t>,</w:t>
            </w:r>
            <w:r w:rsidRPr="00CC7D2C">
              <w:rPr>
                <w:rFonts w:eastAsia="HGMinchoB" w:cs="Arial"/>
                <w:szCs w:val="20"/>
                <w:lang w:eastAsia="en-GB"/>
              </w:rPr>
              <w:t xml:space="preserve"> communicable diseases</w:t>
            </w:r>
            <w:r>
              <w:rPr>
                <w:rFonts w:eastAsia="HGMinchoB" w:cs="Arial"/>
                <w:szCs w:val="20"/>
                <w:lang w:eastAsia="en-GB"/>
              </w:rPr>
              <w:t xml:space="preserve"> and social inclusion</w:t>
            </w:r>
            <w:r w:rsidRPr="00CC7D2C">
              <w:rPr>
                <w:rFonts w:eastAsia="HGMinchoB" w:cs="Arial"/>
                <w:szCs w:val="20"/>
                <w:lang w:eastAsia="en-GB"/>
              </w:rPr>
              <w:t>.</w:t>
            </w:r>
            <w:r>
              <w:rPr>
                <w:rFonts w:eastAsia="HGMinchoB" w:cs="Arial"/>
                <w:szCs w:val="20"/>
                <w:lang w:eastAsia="en-GB"/>
              </w:rPr>
              <w:t xml:space="preserve"> Transferring knowledge and building local capacity cut across all our work. </w:t>
            </w:r>
          </w:p>
          <w:p w14:paraId="5A74B83C" w14:textId="77777777" w:rsidR="00562906" w:rsidRDefault="00562906" w:rsidP="00081568">
            <w:pPr>
              <w:rPr>
                <w:rFonts w:eastAsia="HGMinchoB" w:cs="Arial"/>
                <w:szCs w:val="20"/>
                <w:lang w:eastAsia="en-GB"/>
              </w:rPr>
            </w:pPr>
          </w:p>
          <w:p w14:paraId="32BF2A1B" w14:textId="09889971" w:rsidR="00562906" w:rsidRPr="00081568" w:rsidRDefault="00562906" w:rsidP="00081568">
            <w:pPr>
              <w:rPr>
                <w:rFonts w:eastAsia="HGMinchoB" w:cs="Arial"/>
                <w:szCs w:val="20"/>
                <w:lang w:eastAsia="en-GB"/>
              </w:rPr>
            </w:pPr>
            <w:r>
              <w:rPr>
                <w:rFonts w:eastAsia="HGMinchoB" w:cs="Arial"/>
                <w:szCs w:val="20"/>
                <w:lang w:eastAsia="en-GB"/>
              </w:rPr>
              <w:t>Tropical Health is committed to providing equal opportunities to candidates of all abilities in the workplace.</w:t>
            </w:r>
          </w:p>
        </w:tc>
      </w:tr>
      <w:tr w:rsidR="00BC1C74" w:rsidRPr="00BC1C74" w14:paraId="0726A574" w14:textId="77777777" w:rsidTr="24078BD4">
        <w:tc>
          <w:tcPr>
            <w:tcW w:w="5000" w:type="pct"/>
            <w:gridSpan w:val="2"/>
            <w:tcMar>
              <w:top w:w="108" w:type="dxa"/>
              <w:bottom w:w="108" w:type="dxa"/>
            </w:tcMar>
          </w:tcPr>
          <w:p w14:paraId="6B6B1C39" w14:textId="2B884814" w:rsidR="00EB3659" w:rsidRPr="00BC1C74" w:rsidRDefault="001F7E4E" w:rsidP="00C53ACD">
            <w:pPr>
              <w:rPr>
                <w:rFonts w:cs="Arial"/>
                <w:color w:val="00645C"/>
              </w:rPr>
            </w:pPr>
            <w:r w:rsidRPr="00313514">
              <w:rPr>
                <w:rFonts w:cs="Arial"/>
                <w:b/>
                <w:color w:val="E36C0A" w:themeColor="accent6" w:themeShade="BF"/>
              </w:rPr>
              <w:t>Programme:</w:t>
            </w:r>
            <w:r w:rsidR="00875CD6" w:rsidRPr="00313514">
              <w:rPr>
                <w:rFonts w:cs="Arial"/>
                <w:b/>
                <w:color w:val="E36C0A" w:themeColor="accent6" w:themeShade="BF"/>
              </w:rPr>
              <w:t xml:space="preserve"> </w:t>
            </w:r>
            <w:r w:rsidR="00B5292E" w:rsidRPr="00313514">
              <w:rPr>
                <w:rFonts w:cs="Arial"/>
                <w:b/>
                <w:color w:val="E36C0A" w:themeColor="accent6" w:themeShade="BF"/>
              </w:rPr>
              <w:t xml:space="preserve">Ghana </w:t>
            </w:r>
            <w:proofErr w:type="spellStart"/>
            <w:r w:rsidR="004F7394">
              <w:rPr>
                <w:rFonts w:cs="Arial"/>
                <w:b/>
                <w:color w:val="E36C0A" w:themeColor="accent6" w:themeShade="BF"/>
              </w:rPr>
              <w:t>Somubi</w:t>
            </w:r>
            <w:proofErr w:type="spellEnd"/>
            <w:r w:rsidR="004F7394">
              <w:rPr>
                <w:rFonts w:cs="Arial"/>
                <w:b/>
                <w:color w:val="E36C0A" w:themeColor="accent6" w:themeShade="BF"/>
              </w:rPr>
              <w:t xml:space="preserve"> </w:t>
            </w:r>
            <w:proofErr w:type="spellStart"/>
            <w:r w:rsidR="004F7394">
              <w:rPr>
                <w:rFonts w:cs="Arial"/>
                <w:b/>
                <w:color w:val="E36C0A" w:themeColor="accent6" w:themeShade="BF"/>
              </w:rPr>
              <w:t>Dwumadie</w:t>
            </w:r>
            <w:proofErr w:type="spellEnd"/>
            <w:r w:rsidR="00A2288D" w:rsidRPr="00313514">
              <w:rPr>
                <w:rFonts w:cs="Arial"/>
                <w:b/>
                <w:color w:val="E36C0A" w:themeColor="accent6" w:themeShade="BF"/>
              </w:rPr>
              <w:t xml:space="preserve"> </w:t>
            </w:r>
          </w:p>
        </w:tc>
      </w:tr>
      <w:tr w:rsidR="001F7E4E" w:rsidRPr="00BC1C74" w14:paraId="5A35E17B" w14:textId="77777777" w:rsidTr="24078BD4">
        <w:tc>
          <w:tcPr>
            <w:tcW w:w="5000" w:type="pct"/>
            <w:gridSpan w:val="2"/>
            <w:tcMar>
              <w:top w:w="108" w:type="dxa"/>
              <w:bottom w:w="108" w:type="dxa"/>
            </w:tcMar>
          </w:tcPr>
          <w:p w14:paraId="471FFD85" w14:textId="01E0EAB1" w:rsidR="00144882" w:rsidRDefault="00144882" w:rsidP="00144882">
            <w:r w:rsidRPr="00B00C4A">
              <w:t xml:space="preserve">Ghana </w:t>
            </w:r>
            <w:proofErr w:type="spellStart"/>
            <w:r w:rsidRPr="00B00C4A">
              <w:t>Somubi</w:t>
            </w:r>
            <w:proofErr w:type="spellEnd"/>
            <w:r w:rsidRPr="00B00C4A">
              <w:t xml:space="preserve"> </w:t>
            </w:r>
            <w:proofErr w:type="spellStart"/>
            <w:r w:rsidRPr="00B00C4A">
              <w:t>Dwumadie</w:t>
            </w:r>
            <w:proofErr w:type="spellEnd"/>
            <w:r w:rsidRPr="00B00C4A">
              <w:t xml:space="preserve"> (Ghana Participation Programme) is a four-year disability programme in Ghana, with a specific focus on mental health. This programme is funded with UK </w:t>
            </w:r>
            <w:r>
              <w:t>a</w:t>
            </w:r>
            <w:r w:rsidRPr="00B00C4A">
              <w:t xml:space="preserve">id from the UK government. The programme is run by an Options’ led consortium, which also consists of </w:t>
            </w:r>
            <w:proofErr w:type="spellStart"/>
            <w:r w:rsidRPr="00B00C4A">
              <w:t>BasicNeeds</w:t>
            </w:r>
            <w:proofErr w:type="spellEnd"/>
            <w:r w:rsidRPr="00B00C4A">
              <w:t>-Ghana, Kings College London, Sightsavers International and Tropical Health, and focuses on four key areas:</w:t>
            </w:r>
          </w:p>
          <w:p w14:paraId="2C982C7E" w14:textId="77777777" w:rsidR="00144882" w:rsidRPr="00B00C4A" w:rsidRDefault="00144882" w:rsidP="00144882"/>
          <w:p w14:paraId="314DB607" w14:textId="77777777" w:rsidR="00144882" w:rsidRPr="00B00C4A" w:rsidRDefault="00144882" w:rsidP="00144882">
            <w:pPr>
              <w:pStyle w:val="ListParagraph"/>
              <w:numPr>
                <w:ilvl w:val="0"/>
                <w:numId w:val="10"/>
              </w:numPr>
              <w:spacing w:after="120"/>
            </w:pPr>
            <w:r w:rsidRPr="00B00C4A">
              <w:t>Promoting stronger policies and systems that respect the rights of people with disabilities, including people with mental health disabilities</w:t>
            </w:r>
          </w:p>
          <w:p w14:paraId="0D4CF4CD" w14:textId="77777777" w:rsidR="00144882" w:rsidRPr="00B00C4A" w:rsidRDefault="00144882" w:rsidP="00144882">
            <w:pPr>
              <w:pStyle w:val="ListParagraph"/>
              <w:numPr>
                <w:ilvl w:val="0"/>
                <w:numId w:val="10"/>
              </w:numPr>
              <w:spacing w:after="120"/>
            </w:pPr>
            <w:r w:rsidRPr="00B00C4A">
              <w:t>Scaling up high quality and accessible mental health services</w:t>
            </w:r>
          </w:p>
          <w:p w14:paraId="5C58102C" w14:textId="77777777" w:rsidR="00144882" w:rsidRPr="00B00C4A" w:rsidRDefault="00144882" w:rsidP="00144882">
            <w:pPr>
              <w:pStyle w:val="ListParagraph"/>
              <w:numPr>
                <w:ilvl w:val="0"/>
                <w:numId w:val="10"/>
              </w:numPr>
              <w:spacing w:after="120"/>
            </w:pPr>
            <w:r w:rsidRPr="00B00C4A">
              <w:t>Reducing stigma and discrimination against people with disabilities, including mental health disabilities</w:t>
            </w:r>
          </w:p>
          <w:p w14:paraId="39714E90" w14:textId="77777777" w:rsidR="00144882" w:rsidRPr="00B00C4A" w:rsidRDefault="00144882" w:rsidP="00144882">
            <w:pPr>
              <w:pStyle w:val="ListParagraph"/>
              <w:numPr>
                <w:ilvl w:val="0"/>
                <w:numId w:val="10"/>
              </w:numPr>
              <w:spacing w:after="120"/>
            </w:pPr>
            <w:r w:rsidRPr="00B00C4A">
              <w:t>Generating evidence to inform policy and practice on the effectiveness of disability and mental health programmes and interventions</w:t>
            </w:r>
          </w:p>
          <w:p w14:paraId="17C7773B" w14:textId="18A80BFF" w:rsidR="004503E3" w:rsidRPr="001A3587" w:rsidRDefault="004503E3" w:rsidP="00144882">
            <w:pPr>
              <w:pStyle w:val="TableParagraph"/>
              <w:tabs>
                <w:tab w:val="left" w:pos="828"/>
              </w:tabs>
              <w:spacing w:before="3"/>
              <w:ind w:left="0" w:right="98"/>
              <w:jc w:val="both"/>
              <w:rPr>
                <w:sz w:val="20"/>
              </w:rPr>
            </w:pPr>
          </w:p>
        </w:tc>
      </w:tr>
      <w:tr w:rsidR="001F7E4E" w:rsidRPr="00BC1C74" w14:paraId="18392D95" w14:textId="77777777" w:rsidTr="24078BD4">
        <w:tc>
          <w:tcPr>
            <w:tcW w:w="5000" w:type="pct"/>
            <w:gridSpan w:val="2"/>
            <w:tcMar>
              <w:top w:w="108" w:type="dxa"/>
              <w:bottom w:w="108" w:type="dxa"/>
            </w:tcMar>
          </w:tcPr>
          <w:p w14:paraId="60181DB9" w14:textId="77777777" w:rsidR="001F7E4E" w:rsidRPr="00BC1C74" w:rsidRDefault="001F7E4E" w:rsidP="009711BB">
            <w:pPr>
              <w:rPr>
                <w:rFonts w:cs="Arial"/>
                <w:b/>
                <w:color w:val="00645C"/>
              </w:rPr>
            </w:pPr>
            <w:r w:rsidRPr="00313514">
              <w:rPr>
                <w:rFonts w:cs="Arial"/>
                <w:b/>
                <w:color w:val="E36C0A" w:themeColor="accent6" w:themeShade="BF"/>
              </w:rPr>
              <w:lastRenderedPageBreak/>
              <w:t>Main purpose of job</w:t>
            </w:r>
          </w:p>
        </w:tc>
      </w:tr>
      <w:tr w:rsidR="00D50999" w:rsidRPr="00BC1C74" w14:paraId="047AA3F7" w14:textId="77777777" w:rsidTr="24078BD4">
        <w:tc>
          <w:tcPr>
            <w:tcW w:w="5000" w:type="pct"/>
            <w:gridSpan w:val="2"/>
            <w:tcMar>
              <w:top w:w="108" w:type="dxa"/>
              <w:bottom w:w="108" w:type="dxa"/>
            </w:tcMar>
          </w:tcPr>
          <w:p w14:paraId="5E33445D" w14:textId="107C1ECD" w:rsidR="0095738D" w:rsidRDefault="003C675E" w:rsidP="00366DF7">
            <w:pPr>
              <w:rPr>
                <w:lang w:bidi="en-GB"/>
              </w:rPr>
            </w:pPr>
            <w:r>
              <w:rPr>
                <w:lang w:bidi="en-GB"/>
              </w:rPr>
              <w:t xml:space="preserve">To lead on the effective implementation of the </w:t>
            </w:r>
            <w:r w:rsidRPr="009825F1">
              <w:rPr>
                <w:lang w:bidi="en-GB"/>
              </w:rPr>
              <w:t xml:space="preserve">Ghana </w:t>
            </w:r>
            <w:proofErr w:type="spellStart"/>
            <w:r w:rsidRPr="009825F1">
              <w:rPr>
                <w:lang w:bidi="en-GB"/>
              </w:rPr>
              <w:t>Somubi</w:t>
            </w:r>
            <w:proofErr w:type="spellEnd"/>
            <w:r w:rsidRPr="009825F1">
              <w:rPr>
                <w:lang w:bidi="en-GB"/>
              </w:rPr>
              <w:t xml:space="preserve"> </w:t>
            </w:r>
            <w:proofErr w:type="spellStart"/>
            <w:r w:rsidRPr="009825F1">
              <w:rPr>
                <w:lang w:bidi="en-GB"/>
              </w:rPr>
              <w:t>Dwumadie</w:t>
            </w:r>
            <w:proofErr w:type="spellEnd"/>
            <w:r w:rsidRPr="009825F1">
              <w:rPr>
                <w:lang w:bidi="en-GB"/>
              </w:rPr>
              <w:t xml:space="preserve"> Learning Plan</w:t>
            </w:r>
            <w:r>
              <w:rPr>
                <w:lang w:bidi="en-GB"/>
              </w:rPr>
              <w:t>. This role will be responsible for ensuring that structures and systems are established to foster, facilitate</w:t>
            </w:r>
            <w:r w:rsidR="00144882">
              <w:rPr>
                <w:lang w:bidi="en-GB"/>
              </w:rPr>
              <w:t>,</w:t>
            </w:r>
            <w:r>
              <w:rPr>
                <w:lang w:bidi="en-GB"/>
              </w:rPr>
              <w:t xml:space="preserve"> capture </w:t>
            </w:r>
            <w:r w:rsidR="00144882">
              <w:rPr>
                <w:lang w:bidi="en-GB"/>
              </w:rPr>
              <w:t xml:space="preserve">and act on </w:t>
            </w:r>
            <w:r>
              <w:rPr>
                <w:lang w:bidi="en-GB"/>
              </w:rPr>
              <w:t xml:space="preserve">learning across all areas of the programme </w:t>
            </w:r>
            <w:r w:rsidRPr="00366DF7">
              <w:rPr>
                <w:lang w:val="en-US" w:bidi="en-GB"/>
              </w:rPr>
              <w:t>in order to help generate evidence and deepen understanding of disability and mental health inclusion in Ghana.</w:t>
            </w:r>
            <w:r w:rsidR="00366DF7" w:rsidRPr="00366DF7">
              <w:rPr>
                <w:lang w:val="en-US" w:bidi="en-GB"/>
              </w:rPr>
              <w:t xml:space="preserve"> </w:t>
            </w:r>
            <w:r w:rsidRPr="00EC524B">
              <w:t>Th</w:t>
            </w:r>
            <w:r>
              <w:t>e programme’s</w:t>
            </w:r>
            <w:r w:rsidRPr="00EC524B">
              <w:t xml:space="preserve"> Learning Plan</w:t>
            </w:r>
            <w:r>
              <w:t xml:space="preserve"> is embedded as an integral function of the wider programme MEL so that monitoring, evaluation and learning functions work alongside each other synergistically </w:t>
            </w:r>
            <w:r w:rsidRPr="00EC524B">
              <w:t xml:space="preserve">to </w:t>
            </w:r>
            <w:r w:rsidRPr="00EC524B">
              <w:rPr>
                <w:rFonts w:eastAsia="Calibri"/>
              </w:rPr>
              <w:t xml:space="preserve">provide upwards and downwards accountability, and actively generate and capture learning, both for adaptive and responsive management, and to demonstrate what works in programming for disability, including mental </w:t>
            </w:r>
            <w:r w:rsidR="002C5AB9">
              <w:rPr>
                <w:rFonts w:eastAsia="Calibri"/>
              </w:rPr>
              <w:t xml:space="preserve">health, </w:t>
            </w:r>
            <w:r>
              <w:rPr>
                <w:rFonts w:eastAsia="Calibri"/>
              </w:rPr>
              <w:t>and</w:t>
            </w:r>
            <w:r w:rsidRPr="00EC524B">
              <w:rPr>
                <w:rFonts w:eastAsia="Calibri"/>
              </w:rPr>
              <w:t xml:space="preserve"> inclusion.</w:t>
            </w:r>
            <w:r w:rsidRPr="009825F1">
              <w:rPr>
                <w:lang w:bidi="en-GB"/>
              </w:rPr>
              <w:t xml:space="preserve"> </w:t>
            </w:r>
          </w:p>
          <w:p w14:paraId="7B8E793F" w14:textId="77777777" w:rsidR="00144882" w:rsidRDefault="00144882" w:rsidP="00366DF7">
            <w:pPr>
              <w:rPr>
                <w:lang w:bidi="en-GB"/>
              </w:rPr>
            </w:pPr>
          </w:p>
          <w:p w14:paraId="17C1E4FE" w14:textId="2A4C4488" w:rsidR="00144882" w:rsidRPr="003C675E" w:rsidRDefault="00144882" w:rsidP="00366DF7">
            <w:pPr>
              <w:rPr>
                <w:lang w:bidi="en-GB"/>
              </w:rPr>
            </w:pPr>
            <w:r>
              <w:rPr>
                <w:lang w:bidi="en-GB"/>
              </w:rPr>
              <w:t xml:space="preserve">In addition, where needed, the position will act as in-country focal person for Tropical Health led activities in the programme.  </w:t>
            </w:r>
          </w:p>
        </w:tc>
      </w:tr>
    </w:tbl>
    <w:p w14:paraId="2ED8FBB9" w14:textId="0C7DF95E" w:rsidR="00A50EB5" w:rsidRDefault="00A50EB5"/>
    <w:tbl>
      <w:tblPr>
        <w:tblStyle w:val="TableGrid"/>
        <w:tblW w:w="5000" w:type="pct"/>
        <w:tblLook w:val="04A0" w:firstRow="1" w:lastRow="0" w:firstColumn="1" w:lastColumn="0" w:noHBand="0" w:noVBand="1"/>
      </w:tblPr>
      <w:tblGrid>
        <w:gridCol w:w="9736"/>
      </w:tblGrid>
      <w:tr w:rsidR="00060AFD" w:rsidRPr="00BC1C74" w14:paraId="5FF74366" w14:textId="77777777" w:rsidTr="008144D2">
        <w:tc>
          <w:tcPr>
            <w:tcW w:w="5000" w:type="pct"/>
            <w:vAlign w:val="center"/>
          </w:tcPr>
          <w:p w14:paraId="6FF0FD57" w14:textId="6375876B" w:rsidR="00060AFD" w:rsidRPr="00313514" w:rsidRDefault="00060AFD" w:rsidP="008144D2">
            <w:pPr>
              <w:rPr>
                <w:rFonts w:cs="Arial"/>
                <w:b/>
                <w:color w:val="E36C0A" w:themeColor="accent6" w:themeShade="BF"/>
              </w:rPr>
            </w:pPr>
            <w:r w:rsidRPr="00313514">
              <w:rPr>
                <w:rFonts w:cs="Arial"/>
                <w:b/>
                <w:color w:val="E36C0A" w:themeColor="accent6" w:themeShade="BF"/>
              </w:rPr>
              <w:t>Main duties</w:t>
            </w:r>
          </w:p>
          <w:p w14:paraId="0B33DECE" w14:textId="77777777" w:rsidR="00530285" w:rsidRPr="00530285" w:rsidRDefault="00530285" w:rsidP="008144D2">
            <w:pPr>
              <w:rPr>
                <w:rFonts w:cs="Arial"/>
                <w:color w:val="00645C"/>
                <w:sz w:val="12"/>
                <w:szCs w:val="12"/>
              </w:rPr>
            </w:pPr>
          </w:p>
        </w:tc>
      </w:tr>
      <w:tr w:rsidR="00060AFD" w:rsidRPr="00BC1C74" w14:paraId="2340AEB1" w14:textId="77777777" w:rsidTr="00060AFD">
        <w:tc>
          <w:tcPr>
            <w:tcW w:w="5000" w:type="pct"/>
          </w:tcPr>
          <w:p w14:paraId="4626F9DA" w14:textId="77777777" w:rsidR="00644992" w:rsidRDefault="00644992" w:rsidP="00644992">
            <w:pPr>
              <w:spacing w:line="23" w:lineRule="atLeast"/>
              <w:jc w:val="both"/>
              <w:rPr>
                <w:rFonts w:cs="Arial"/>
                <w:b/>
                <w:szCs w:val="20"/>
              </w:rPr>
            </w:pPr>
          </w:p>
          <w:p w14:paraId="351DB9EF" w14:textId="6587738A" w:rsidR="00266A82" w:rsidRPr="00266A82" w:rsidRDefault="00266A82" w:rsidP="00366DF7">
            <w:pPr>
              <w:pStyle w:val="CommentText"/>
              <w:rPr>
                <w:b/>
                <w:bCs/>
                <w:lang w:bidi="en-GB"/>
              </w:rPr>
            </w:pPr>
            <w:r w:rsidRPr="00266A82">
              <w:rPr>
                <w:b/>
                <w:bCs/>
                <w:lang w:bidi="en-GB"/>
              </w:rPr>
              <w:t xml:space="preserve">Learning </w:t>
            </w:r>
            <w:r w:rsidR="00275F37">
              <w:rPr>
                <w:b/>
                <w:bCs/>
                <w:lang w:bidi="en-GB"/>
              </w:rPr>
              <w:t xml:space="preserve">approach </w:t>
            </w:r>
          </w:p>
          <w:p w14:paraId="35CB5DC7" w14:textId="5A5BD3F9" w:rsidR="00366DF7" w:rsidRDefault="00366DF7" w:rsidP="00266A82">
            <w:pPr>
              <w:pStyle w:val="ListParagraph"/>
              <w:numPr>
                <w:ilvl w:val="0"/>
                <w:numId w:val="16"/>
              </w:numPr>
              <w:rPr>
                <w:szCs w:val="20"/>
                <w:lang w:bidi="en-GB"/>
              </w:rPr>
            </w:pPr>
            <w:r>
              <w:rPr>
                <w:szCs w:val="20"/>
              </w:rPr>
              <w:t>In line with the programme approved Learning Plan, e</w:t>
            </w:r>
            <w:r w:rsidR="003C675E" w:rsidRPr="00266A82">
              <w:rPr>
                <w:szCs w:val="20"/>
              </w:rPr>
              <w:t xml:space="preserve">stablish and manage effective programme approaches and methodologies to routinely capture </w:t>
            </w:r>
            <w:r w:rsidR="00180E0B">
              <w:rPr>
                <w:szCs w:val="20"/>
              </w:rPr>
              <w:t xml:space="preserve">and act upon </w:t>
            </w:r>
            <w:r w:rsidR="003C675E" w:rsidRPr="00266A82">
              <w:rPr>
                <w:szCs w:val="20"/>
              </w:rPr>
              <w:t xml:space="preserve">learning as part of an embedded function </w:t>
            </w:r>
            <w:r w:rsidR="00266A82">
              <w:rPr>
                <w:szCs w:val="20"/>
              </w:rPr>
              <w:t>within</w:t>
            </w:r>
            <w:r w:rsidR="003C675E" w:rsidRPr="00266A82">
              <w:rPr>
                <w:szCs w:val="20"/>
              </w:rPr>
              <w:t xml:space="preserve"> </w:t>
            </w:r>
            <w:r w:rsidR="00266A82">
              <w:rPr>
                <w:szCs w:val="20"/>
              </w:rPr>
              <w:t xml:space="preserve">the </w:t>
            </w:r>
            <w:r w:rsidR="003C675E" w:rsidRPr="00266A82">
              <w:rPr>
                <w:szCs w:val="20"/>
              </w:rPr>
              <w:t>routine programme ME</w:t>
            </w:r>
            <w:r w:rsidR="00266A82">
              <w:rPr>
                <w:szCs w:val="20"/>
              </w:rPr>
              <w:t>L work</w:t>
            </w:r>
            <w:r>
              <w:rPr>
                <w:szCs w:val="20"/>
              </w:rPr>
              <w:t xml:space="preserve"> </w:t>
            </w:r>
          </w:p>
          <w:p w14:paraId="33BC015E" w14:textId="6A9526EA" w:rsidR="00266A82" w:rsidRPr="00266A82" w:rsidRDefault="00266A82" w:rsidP="00266A82">
            <w:pPr>
              <w:pStyle w:val="CommentText"/>
              <w:numPr>
                <w:ilvl w:val="0"/>
                <w:numId w:val="16"/>
              </w:numPr>
              <w:rPr>
                <w:lang w:bidi="en-GB"/>
              </w:rPr>
            </w:pPr>
            <w:r w:rsidRPr="00266A82">
              <w:rPr>
                <w:lang w:bidi="en-GB"/>
              </w:rPr>
              <w:t>Ensure that the Programme’s learning orientation and approach is user-led, adaptive and evolving throughout the Programm</w:t>
            </w:r>
            <w:r w:rsidR="00366DF7">
              <w:rPr>
                <w:lang w:bidi="en-GB"/>
              </w:rPr>
              <w:t>e</w:t>
            </w:r>
            <w:r w:rsidR="00366DF7">
              <w:t>.</w:t>
            </w:r>
          </w:p>
          <w:p w14:paraId="6ED34C64" w14:textId="666AEA8D" w:rsidR="00275F37" w:rsidRDefault="00275F37" w:rsidP="00275F37">
            <w:pPr>
              <w:pStyle w:val="ListParagraph"/>
              <w:numPr>
                <w:ilvl w:val="0"/>
                <w:numId w:val="16"/>
              </w:numPr>
              <w:rPr>
                <w:szCs w:val="20"/>
              </w:rPr>
            </w:pPr>
            <w:r w:rsidRPr="00266A82">
              <w:rPr>
                <w:szCs w:val="20"/>
              </w:rPr>
              <w:t>Working with the ME</w:t>
            </w:r>
            <w:r>
              <w:rPr>
                <w:szCs w:val="20"/>
              </w:rPr>
              <w:t>L</w:t>
            </w:r>
            <w:r w:rsidRPr="00266A82">
              <w:rPr>
                <w:szCs w:val="20"/>
              </w:rPr>
              <w:t xml:space="preserve"> Advisor</w:t>
            </w:r>
            <w:r>
              <w:rPr>
                <w:szCs w:val="20"/>
              </w:rPr>
              <w:t>,</w:t>
            </w:r>
            <w:r w:rsidRPr="00266A82">
              <w:rPr>
                <w:szCs w:val="20"/>
              </w:rPr>
              <w:t xml:space="preserve"> contribute to the </w:t>
            </w:r>
            <w:r>
              <w:rPr>
                <w:szCs w:val="20"/>
              </w:rPr>
              <w:t xml:space="preserve">regular </w:t>
            </w:r>
            <w:r w:rsidRPr="00266A82">
              <w:rPr>
                <w:szCs w:val="20"/>
              </w:rPr>
              <w:t xml:space="preserve">review of the programme MEL </w:t>
            </w:r>
            <w:r>
              <w:rPr>
                <w:szCs w:val="20"/>
              </w:rPr>
              <w:t>plan</w:t>
            </w:r>
            <w:r w:rsidRPr="00266A82">
              <w:rPr>
                <w:szCs w:val="20"/>
              </w:rPr>
              <w:t>; using learnings to inform programme adaptations for the MEL</w:t>
            </w:r>
            <w:r>
              <w:rPr>
                <w:szCs w:val="20"/>
              </w:rPr>
              <w:t xml:space="preserve"> plan</w:t>
            </w:r>
            <w:r w:rsidRPr="00266A82">
              <w:rPr>
                <w:szCs w:val="20"/>
              </w:rPr>
              <w:t xml:space="preserve"> – taking leadership/custodian of the TOC as a living document for the programme and the programme learning agenda.</w:t>
            </w:r>
          </w:p>
          <w:p w14:paraId="2EB52261" w14:textId="77413238" w:rsidR="009B5050" w:rsidRDefault="009B5050" w:rsidP="00275F37">
            <w:pPr>
              <w:pStyle w:val="ListParagraph"/>
              <w:numPr>
                <w:ilvl w:val="0"/>
                <w:numId w:val="16"/>
              </w:numPr>
              <w:rPr>
                <w:szCs w:val="20"/>
              </w:rPr>
            </w:pPr>
            <w:r>
              <w:rPr>
                <w:szCs w:val="20"/>
              </w:rPr>
              <w:t xml:space="preserve">Build internal programme and grantees’ stakeholders’ capacity in interactive and robust learning </w:t>
            </w:r>
            <w:r w:rsidR="00180E0B">
              <w:rPr>
                <w:szCs w:val="20"/>
              </w:rPr>
              <w:t xml:space="preserve">and evidence-based adaptive management </w:t>
            </w:r>
            <w:r>
              <w:rPr>
                <w:szCs w:val="20"/>
              </w:rPr>
              <w:t>processes</w:t>
            </w:r>
          </w:p>
          <w:p w14:paraId="39E49EA1" w14:textId="3F45FEA9" w:rsidR="00275F37" w:rsidRDefault="00275F37" w:rsidP="00275F37">
            <w:pPr>
              <w:rPr>
                <w:szCs w:val="20"/>
              </w:rPr>
            </w:pPr>
          </w:p>
          <w:p w14:paraId="7B4761C6" w14:textId="45E79BCA" w:rsidR="00275F37" w:rsidRPr="00275F37" w:rsidRDefault="00275F37" w:rsidP="00275F37">
            <w:pPr>
              <w:rPr>
                <w:b/>
                <w:bCs/>
                <w:szCs w:val="20"/>
              </w:rPr>
            </w:pPr>
            <w:r w:rsidRPr="00275F37">
              <w:rPr>
                <w:b/>
                <w:bCs/>
                <w:szCs w:val="20"/>
              </w:rPr>
              <w:t>Learning management</w:t>
            </w:r>
          </w:p>
          <w:p w14:paraId="14EBED59" w14:textId="1F50A3D6" w:rsidR="003C675E" w:rsidRPr="00180E0B" w:rsidRDefault="003C675E" w:rsidP="00366DF7">
            <w:pPr>
              <w:pStyle w:val="CommentText"/>
              <w:numPr>
                <w:ilvl w:val="0"/>
                <w:numId w:val="16"/>
              </w:numPr>
              <w:rPr>
                <w:strike/>
                <w:lang w:bidi="en-GB"/>
              </w:rPr>
            </w:pPr>
            <w:r w:rsidRPr="00266A82">
              <w:rPr>
                <w:lang w:bidi="en-GB"/>
              </w:rPr>
              <w:t>Develop and manage effective data collection tools, collation, and reporting structures for integrated programme learning, ensuring appropriate securement of resources, effective capacity and quality assurance mechanisms. These mechanisms and processes are expected to capture internal leaning on programme processes and approaches and capture change that occurs in Mental Health and Disability well-being and inclusion in Ghana.  Mechanisms are expected to include</w:t>
            </w:r>
            <w:r w:rsidR="00180E0B">
              <w:rPr>
                <w:lang w:bidi="en-GB"/>
              </w:rPr>
              <w:t>:</w:t>
            </w:r>
          </w:p>
          <w:p w14:paraId="03C461C4" w14:textId="0F3CC215" w:rsidR="00180E0B" w:rsidRPr="00180E0B" w:rsidRDefault="00180E0B" w:rsidP="00180E0B">
            <w:pPr>
              <w:pStyle w:val="ListParagraph"/>
              <w:numPr>
                <w:ilvl w:val="1"/>
                <w:numId w:val="16"/>
              </w:numPr>
              <w:rPr>
                <w:szCs w:val="20"/>
              </w:rPr>
            </w:pPr>
            <w:r>
              <w:rPr>
                <w:lang w:bidi="en-GB"/>
              </w:rPr>
              <w:t>B</w:t>
            </w:r>
            <w:r w:rsidRPr="00180E0B">
              <w:rPr>
                <w:lang w:bidi="en-GB"/>
              </w:rPr>
              <w:t>eneficiary feedback loops</w:t>
            </w:r>
            <w:r>
              <w:rPr>
                <w:lang w:bidi="en-GB"/>
              </w:rPr>
              <w:t xml:space="preserve"> in collaboration with the rest of the MEL team, especially as grantees are concerned</w:t>
            </w:r>
            <w:r w:rsidR="00BA1399">
              <w:rPr>
                <w:lang w:bidi="en-GB"/>
              </w:rPr>
              <w:t>;</w:t>
            </w:r>
          </w:p>
          <w:p w14:paraId="165BB217" w14:textId="62BEF3FF" w:rsidR="00180E0B" w:rsidRDefault="00180E0B" w:rsidP="00180E0B">
            <w:pPr>
              <w:pStyle w:val="ListParagraph"/>
              <w:numPr>
                <w:ilvl w:val="1"/>
                <w:numId w:val="16"/>
              </w:numPr>
              <w:rPr>
                <w:szCs w:val="20"/>
              </w:rPr>
            </w:pPr>
            <w:r>
              <w:rPr>
                <w:szCs w:val="20"/>
              </w:rPr>
              <w:t>F</w:t>
            </w:r>
            <w:r w:rsidRPr="00266A82">
              <w:rPr>
                <w:szCs w:val="20"/>
              </w:rPr>
              <w:t xml:space="preserve">orum for reflecting, discussing, action planning and disseminating on the basis of </w:t>
            </w:r>
            <w:r>
              <w:rPr>
                <w:szCs w:val="20"/>
              </w:rPr>
              <w:t xml:space="preserve">evidence and </w:t>
            </w:r>
            <w:r w:rsidRPr="00266A82">
              <w:rPr>
                <w:szCs w:val="20"/>
              </w:rPr>
              <w:t>learning identified in alignment with principles of adaptive programming; development of programme lessons learnt process</w:t>
            </w:r>
            <w:r w:rsidR="00BA1399">
              <w:rPr>
                <w:szCs w:val="20"/>
              </w:rPr>
              <w:t>;</w:t>
            </w:r>
            <w:r w:rsidRPr="00266A82">
              <w:rPr>
                <w:szCs w:val="20"/>
              </w:rPr>
              <w:t xml:space="preserve"> </w:t>
            </w:r>
          </w:p>
          <w:p w14:paraId="53006579" w14:textId="52A36AF5" w:rsidR="00180E0B" w:rsidRPr="00180E0B" w:rsidRDefault="00180E0B" w:rsidP="00180E0B">
            <w:pPr>
              <w:pStyle w:val="ListParagraph"/>
              <w:numPr>
                <w:ilvl w:val="1"/>
                <w:numId w:val="16"/>
              </w:numPr>
              <w:rPr>
                <w:szCs w:val="20"/>
              </w:rPr>
            </w:pPr>
            <w:r>
              <w:rPr>
                <w:lang w:bidi="en-GB"/>
              </w:rPr>
              <w:t>A</w:t>
            </w:r>
            <w:r w:rsidRPr="00180E0B">
              <w:rPr>
                <w:lang w:bidi="en-GB"/>
              </w:rPr>
              <w:t>fter action reviews with consortium partners and stakeholders</w:t>
            </w:r>
            <w:r w:rsidR="00BA1399">
              <w:rPr>
                <w:lang w:bidi="en-GB"/>
              </w:rPr>
              <w:t>;</w:t>
            </w:r>
          </w:p>
          <w:p w14:paraId="6521A257" w14:textId="32EDFD3E" w:rsidR="00180E0B" w:rsidRPr="00180E0B" w:rsidRDefault="00180E0B" w:rsidP="00180E0B">
            <w:pPr>
              <w:pStyle w:val="ListParagraph"/>
              <w:numPr>
                <w:ilvl w:val="1"/>
                <w:numId w:val="16"/>
              </w:numPr>
              <w:rPr>
                <w:szCs w:val="20"/>
              </w:rPr>
            </w:pPr>
            <w:r>
              <w:rPr>
                <w:lang w:bidi="en-GB"/>
              </w:rPr>
              <w:t>M</w:t>
            </w:r>
            <w:r w:rsidRPr="00180E0B">
              <w:rPr>
                <w:lang w:bidi="en-GB"/>
              </w:rPr>
              <w:t xml:space="preserve">ore as defined as part of the programme approved </w:t>
            </w:r>
            <w:r>
              <w:rPr>
                <w:lang w:bidi="en-GB"/>
              </w:rPr>
              <w:t xml:space="preserve">and evolving </w:t>
            </w:r>
            <w:r w:rsidRPr="00180E0B">
              <w:rPr>
                <w:lang w:bidi="en-GB"/>
              </w:rPr>
              <w:t>Learning Plan</w:t>
            </w:r>
          </w:p>
          <w:p w14:paraId="42AB28A7" w14:textId="1868739D" w:rsidR="003C675E" w:rsidRDefault="003C675E" w:rsidP="00266A82">
            <w:pPr>
              <w:pStyle w:val="ListParagraph"/>
              <w:numPr>
                <w:ilvl w:val="0"/>
                <w:numId w:val="16"/>
              </w:numPr>
              <w:rPr>
                <w:szCs w:val="20"/>
              </w:rPr>
            </w:pPr>
            <w:r w:rsidRPr="00266A82">
              <w:rPr>
                <w:szCs w:val="20"/>
              </w:rPr>
              <w:t>Provide strategic and technical support and guidance to ensure data compliance for all learning activities, including adherence to robust ethical protocols</w:t>
            </w:r>
            <w:r w:rsidR="00366DF7">
              <w:rPr>
                <w:szCs w:val="20"/>
              </w:rPr>
              <w:t>.</w:t>
            </w:r>
            <w:r w:rsidRPr="00266A82">
              <w:rPr>
                <w:szCs w:val="20"/>
              </w:rPr>
              <w:t xml:space="preserve"> </w:t>
            </w:r>
          </w:p>
          <w:p w14:paraId="402984F2" w14:textId="77777777" w:rsidR="00275F37" w:rsidRDefault="00275F37" w:rsidP="00275F37">
            <w:pPr>
              <w:pStyle w:val="ListParagraph"/>
              <w:numPr>
                <w:ilvl w:val="0"/>
                <w:numId w:val="16"/>
              </w:numPr>
              <w:rPr>
                <w:szCs w:val="20"/>
              </w:rPr>
            </w:pPr>
            <w:r w:rsidRPr="00266A82">
              <w:rPr>
                <w:szCs w:val="20"/>
              </w:rPr>
              <w:t>Working with M&amp;E Advisor</w:t>
            </w:r>
            <w:r>
              <w:rPr>
                <w:szCs w:val="20"/>
              </w:rPr>
              <w:t>,</w:t>
            </w:r>
            <w:r w:rsidRPr="00266A82">
              <w:rPr>
                <w:szCs w:val="20"/>
              </w:rPr>
              <w:t xml:space="preserve"> lead processes to distil and integrate learning emerging from global evidence into programme implementation</w:t>
            </w:r>
          </w:p>
          <w:p w14:paraId="7A2818E3" w14:textId="59DCCD2B" w:rsidR="00275F37" w:rsidRDefault="00275F37" w:rsidP="00275F37">
            <w:pPr>
              <w:rPr>
                <w:szCs w:val="20"/>
              </w:rPr>
            </w:pPr>
          </w:p>
          <w:p w14:paraId="06B7D759" w14:textId="524B7488" w:rsidR="00275F37" w:rsidRPr="00275F37" w:rsidRDefault="00275F37" w:rsidP="00275F37">
            <w:pPr>
              <w:rPr>
                <w:b/>
                <w:bCs/>
                <w:szCs w:val="20"/>
              </w:rPr>
            </w:pPr>
            <w:r w:rsidRPr="00275F37">
              <w:rPr>
                <w:b/>
                <w:bCs/>
                <w:szCs w:val="20"/>
              </w:rPr>
              <w:t xml:space="preserve">Learning </w:t>
            </w:r>
            <w:r>
              <w:rPr>
                <w:b/>
                <w:bCs/>
                <w:szCs w:val="20"/>
              </w:rPr>
              <w:t>documentation</w:t>
            </w:r>
            <w:r w:rsidRPr="00275F37">
              <w:rPr>
                <w:b/>
                <w:bCs/>
                <w:szCs w:val="20"/>
              </w:rPr>
              <w:t xml:space="preserve"> </w:t>
            </w:r>
          </w:p>
          <w:p w14:paraId="3B435866" w14:textId="1A277EB3" w:rsidR="003C675E" w:rsidRPr="00266A82" w:rsidRDefault="003C675E" w:rsidP="00266A82">
            <w:pPr>
              <w:pStyle w:val="ListParagraph"/>
              <w:numPr>
                <w:ilvl w:val="0"/>
                <w:numId w:val="16"/>
              </w:numPr>
              <w:rPr>
                <w:szCs w:val="20"/>
              </w:rPr>
            </w:pPr>
            <w:r w:rsidRPr="00266A82">
              <w:rPr>
                <w:szCs w:val="20"/>
              </w:rPr>
              <w:t xml:space="preserve">Contribute to production of robust programme </w:t>
            </w:r>
            <w:r w:rsidR="00275F37">
              <w:rPr>
                <w:szCs w:val="20"/>
              </w:rPr>
              <w:t xml:space="preserve">learning products and </w:t>
            </w:r>
            <w:r w:rsidRPr="00266A82">
              <w:rPr>
                <w:szCs w:val="20"/>
              </w:rPr>
              <w:t>MEL reports, leading on the triangulating of monitoring, evaluation with learning data from all partners/stakeholders, including quality standards assessments to identify gaps and actions for improvement.</w:t>
            </w:r>
          </w:p>
          <w:p w14:paraId="21A310B5" w14:textId="70AA82F3" w:rsidR="003C675E" w:rsidRDefault="003C675E" w:rsidP="00266A82">
            <w:pPr>
              <w:pStyle w:val="ListParagraph"/>
              <w:numPr>
                <w:ilvl w:val="0"/>
                <w:numId w:val="16"/>
              </w:numPr>
              <w:rPr>
                <w:szCs w:val="20"/>
              </w:rPr>
            </w:pPr>
            <w:r w:rsidRPr="00266A82">
              <w:rPr>
                <w:szCs w:val="20"/>
              </w:rPr>
              <w:t>Working in partnership with the Communications Manager</w:t>
            </w:r>
            <w:r w:rsidR="00275F37">
              <w:rPr>
                <w:szCs w:val="20"/>
              </w:rPr>
              <w:t>,</w:t>
            </w:r>
            <w:r w:rsidRPr="00266A82">
              <w:rPr>
                <w:szCs w:val="20"/>
              </w:rPr>
              <w:t xml:space="preserve"> produce and disseminate key learnings with internal and external stakeholders to both inform and support measures of programme change/adaptation (lessons learnt process) – this is to </w:t>
            </w:r>
            <w:r w:rsidR="00366DF7">
              <w:rPr>
                <w:szCs w:val="20"/>
              </w:rPr>
              <w:t xml:space="preserve">also </w:t>
            </w:r>
            <w:r w:rsidRPr="00266A82">
              <w:rPr>
                <w:szCs w:val="20"/>
              </w:rPr>
              <w:t>include the identification of cross-programme opportunities and lessons learned</w:t>
            </w:r>
            <w:r w:rsidR="00875FE3">
              <w:rPr>
                <w:szCs w:val="20"/>
              </w:rPr>
              <w:t xml:space="preserve"> as well as stories of change</w:t>
            </w:r>
            <w:r w:rsidRPr="00266A82">
              <w:rPr>
                <w:szCs w:val="20"/>
              </w:rPr>
              <w:t>.</w:t>
            </w:r>
          </w:p>
          <w:p w14:paraId="2EF0C3BA" w14:textId="4A6BE371" w:rsidR="002C1E5E" w:rsidRPr="00266A82" w:rsidRDefault="002C1E5E" w:rsidP="00266A82">
            <w:pPr>
              <w:pStyle w:val="ListParagraph"/>
              <w:numPr>
                <w:ilvl w:val="0"/>
                <w:numId w:val="16"/>
              </w:numPr>
              <w:rPr>
                <w:szCs w:val="20"/>
              </w:rPr>
            </w:pPr>
            <w:r>
              <w:rPr>
                <w:szCs w:val="20"/>
              </w:rPr>
              <w:t>Work closely with MEL Adviser to gather evidence and prepare adequately for FCDOs Annual Reviews</w:t>
            </w:r>
          </w:p>
          <w:p w14:paraId="5D525FF0" w14:textId="77777777" w:rsidR="002344CA" w:rsidRPr="00286515" w:rsidRDefault="002344CA" w:rsidP="002344CA">
            <w:pPr>
              <w:spacing w:line="23" w:lineRule="atLeast"/>
              <w:ind w:left="720"/>
              <w:contextualSpacing/>
              <w:jc w:val="both"/>
              <w:rPr>
                <w:rFonts w:cs="Arial"/>
                <w:color w:val="000000"/>
                <w:szCs w:val="20"/>
              </w:rPr>
            </w:pPr>
          </w:p>
          <w:p w14:paraId="7ECCA3C4" w14:textId="77777777" w:rsidR="00530285" w:rsidRPr="00530285" w:rsidRDefault="00530285" w:rsidP="008965CE">
            <w:pPr>
              <w:spacing w:line="23" w:lineRule="atLeast"/>
              <w:contextualSpacing/>
              <w:jc w:val="both"/>
              <w:rPr>
                <w:rFonts w:cs="Arial"/>
                <w:bCs/>
                <w:color w:val="000000"/>
                <w:sz w:val="12"/>
                <w:szCs w:val="12"/>
              </w:rPr>
            </w:pPr>
          </w:p>
          <w:p w14:paraId="0BB3A1B9" w14:textId="0C768D23" w:rsidR="00530285" w:rsidRPr="00530285" w:rsidRDefault="00AC20D4" w:rsidP="00865C9B">
            <w:pPr>
              <w:spacing w:line="23" w:lineRule="atLeast"/>
              <w:contextualSpacing/>
              <w:jc w:val="both"/>
              <w:rPr>
                <w:rFonts w:cs="Arial"/>
                <w:b/>
                <w:bCs/>
                <w:color w:val="000000"/>
                <w:szCs w:val="20"/>
              </w:rPr>
            </w:pPr>
            <w:r w:rsidRPr="0088269A">
              <w:rPr>
                <w:b/>
                <w:bCs/>
              </w:rPr>
              <w:lastRenderedPageBreak/>
              <w:t xml:space="preserve">Management and </w:t>
            </w:r>
            <w:r w:rsidR="008965CE">
              <w:rPr>
                <w:b/>
                <w:bCs/>
              </w:rPr>
              <w:t>Coordination</w:t>
            </w:r>
          </w:p>
          <w:p w14:paraId="75E49852" w14:textId="01E13304" w:rsidR="00275F37" w:rsidRPr="00366DF7" w:rsidRDefault="00275F37" w:rsidP="00275F37">
            <w:pPr>
              <w:pStyle w:val="ListParagraph"/>
              <w:numPr>
                <w:ilvl w:val="0"/>
                <w:numId w:val="16"/>
              </w:numPr>
              <w:rPr>
                <w:szCs w:val="20"/>
              </w:rPr>
            </w:pPr>
            <w:r>
              <w:rPr>
                <w:szCs w:val="20"/>
              </w:rPr>
              <w:t>As needed, support the ME</w:t>
            </w:r>
            <w:r w:rsidR="009B5050">
              <w:rPr>
                <w:szCs w:val="20"/>
              </w:rPr>
              <w:t>L</w:t>
            </w:r>
            <w:r>
              <w:rPr>
                <w:szCs w:val="20"/>
              </w:rPr>
              <w:t xml:space="preserve"> Advisor with the management and delivery of the overall MEL plan</w:t>
            </w:r>
            <w:r w:rsidR="002C1E5E">
              <w:rPr>
                <w:szCs w:val="20"/>
              </w:rPr>
              <w:t xml:space="preserve"> including the collection, collation and reporting of data and results </w:t>
            </w:r>
          </w:p>
          <w:p w14:paraId="7351A631" w14:textId="44B8A7F7" w:rsidR="001B7F94" w:rsidRPr="00275F37" w:rsidRDefault="008965CE" w:rsidP="00275F37">
            <w:pPr>
              <w:pStyle w:val="ListParagraph"/>
              <w:numPr>
                <w:ilvl w:val="0"/>
                <w:numId w:val="16"/>
              </w:numPr>
              <w:rPr>
                <w:szCs w:val="20"/>
              </w:rPr>
            </w:pPr>
            <w:r w:rsidRPr="00275F37">
              <w:rPr>
                <w:szCs w:val="20"/>
              </w:rPr>
              <w:t>L</w:t>
            </w:r>
            <w:r w:rsidR="001B7F94" w:rsidRPr="00275F37">
              <w:rPr>
                <w:szCs w:val="20"/>
              </w:rPr>
              <w:t>iaise closely with programme staff to build a collaborative MEL team culture, building staff MEL capacity where feasible</w:t>
            </w:r>
          </w:p>
          <w:p w14:paraId="29B04479" w14:textId="589B9E89" w:rsidR="00BB0A98" w:rsidRDefault="00BB0A98" w:rsidP="00275F37">
            <w:pPr>
              <w:pStyle w:val="ListParagraph"/>
              <w:numPr>
                <w:ilvl w:val="0"/>
                <w:numId w:val="16"/>
              </w:numPr>
              <w:rPr>
                <w:szCs w:val="20"/>
              </w:rPr>
            </w:pPr>
            <w:r w:rsidRPr="00275F37">
              <w:rPr>
                <w:szCs w:val="20"/>
              </w:rPr>
              <w:t>Work closely with the consortium’s ME</w:t>
            </w:r>
            <w:r w:rsidR="007F0BF9" w:rsidRPr="00275F37">
              <w:rPr>
                <w:szCs w:val="20"/>
              </w:rPr>
              <w:t>L</w:t>
            </w:r>
            <w:r w:rsidRPr="00275F37">
              <w:rPr>
                <w:szCs w:val="20"/>
              </w:rPr>
              <w:t xml:space="preserve"> consultants and advisors in order to ensure best practice is being applied to all workstreams and activities of work</w:t>
            </w:r>
          </w:p>
          <w:p w14:paraId="651DE44E" w14:textId="6601C1B6" w:rsidR="00144882" w:rsidRDefault="00144882" w:rsidP="00144882">
            <w:pPr>
              <w:rPr>
                <w:szCs w:val="20"/>
              </w:rPr>
            </w:pPr>
          </w:p>
          <w:p w14:paraId="6C7146B2" w14:textId="72022A8F" w:rsidR="00144882" w:rsidRPr="00144882" w:rsidRDefault="00144882" w:rsidP="00AF11B2">
            <w:pPr>
              <w:rPr>
                <w:szCs w:val="20"/>
              </w:rPr>
            </w:pPr>
            <w:r>
              <w:rPr>
                <w:szCs w:val="20"/>
              </w:rPr>
              <w:t xml:space="preserve">Tropical Health </w:t>
            </w:r>
            <w:r w:rsidR="00A978F6">
              <w:rPr>
                <w:szCs w:val="20"/>
              </w:rPr>
              <w:t>in-country focal point</w:t>
            </w:r>
          </w:p>
          <w:p w14:paraId="5E14A1A9" w14:textId="203C8915" w:rsidR="00144882" w:rsidRPr="00275F37" w:rsidRDefault="00A978F6" w:rsidP="00275F37">
            <w:pPr>
              <w:pStyle w:val="ListParagraph"/>
              <w:numPr>
                <w:ilvl w:val="0"/>
                <w:numId w:val="16"/>
              </w:numPr>
              <w:rPr>
                <w:szCs w:val="20"/>
              </w:rPr>
            </w:pPr>
            <w:r>
              <w:rPr>
                <w:lang w:bidi="en-GB"/>
              </w:rPr>
              <w:t>W</w:t>
            </w:r>
            <w:r w:rsidR="00144882">
              <w:rPr>
                <w:lang w:bidi="en-GB"/>
              </w:rPr>
              <w:t>here needed, act as in-country focal person for Tropical Health led activities in the programme</w:t>
            </w:r>
            <w:r w:rsidR="00180E0B">
              <w:rPr>
                <w:lang w:bidi="en-GB"/>
              </w:rPr>
              <w:t>, includ</w:t>
            </w:r>
            <w:r w:rsidR="00BA1399">
              <w:rPr>
                <w:lang w:bidi="en-GB"/>
              </w:rPr>
              <w:t>ing</w:t>
            </w:r>
            <w:r w:rsidR="00180E0B">
              <w:rPr>
                <w:lang w:bidi="en-GB"/>
              </w:rPr>
              <w:t xml:space="preserve"> but not limited to supporting work planning, liaising with key stakeholders, being focal point for in-country activities </w:t>
            </w:r>
            <w:r w:rsidR="00BA1399">
              <w:rPr>
                <w:lang w:bidi="en-GB"/>
              </w:rPr>
              <w:t xml:space="preserve">organisation </w:t>
            </w:r>
            <w:r w:rsidR="00180E0B">
              <w:rPr>
                <w:lang w:bidi="en-GB"/>
              </w:rPr>
              <w:t>such as workshop</w:t>
            </w:r>
            <w:r w:rsidR="00BA1399">
              <w:rPr>
                <w:lang w:bidi="en-GB"/>
              </w:rPr>
              <w:t xml:space="preserve"> (with support from the programme assistant)</w:t>
            </w:r>
            <w:r w:rsidR="00180E0B">
              <w:rPr>
                <w:lang w:bidi="en-GB"/>
              </w:rPr>
              <w:t xml:space="preserve">. </w:t>
            </w:r>
            <w:r w:rsidR="00144882">
              <w:rPr>
                <w:lang w:bidi="en-GB"/>
              </w:rPr>
              <w:t xml:space="preserve"> </w:t>
            </w:r>
          </w:p>
          <w:p w14:paraId="7D64E8B7" w14:textId="46BB6463" w:rsidR="00530285" w:rsidRPr="00530285" w:rsidRDefault="00530285" w:rsidP="00266A82">
            <w:pPr>
              <w:spacing w:line="23" w:lineRule="atLeast"/>
              <w:ind w:left="360"/>
              <w:jc w:val="both"/>
              <w:rPr>
                <w:rFonts w:cs="Arial"/>
                <w:sz w:val="12"/>
                <w:szCs w:val="12"/>
              </w:rPr>
            </w:pPr>
          </w:p>
        </w:tc>
      </w:tr>
    </w:tbl>
    <w:p w14:paraId="037A79AC" w14:textId="77777777" w:rsidR="009F4A32" w:rsidRPr="00BC1C74" w:rsidRDefault="00991B89" w:rsidP="00D83F29">
      <w:pPr>
        <w:jc w:val="both"/>
        <w:rPr>
          <w:rFonts w:cs="Arial"/>
        </w:rPr>
      </w:pPr>
      <w:r w:rsidRPr="00BC1C74">
        <w:rPr>
          <w:rFonts w:cs="Arial"/>
        </w:rPr>
        <w:lastRenderedPageBreak/>
        <w:t xml:space="preserve">Note: </w:t>
      </w:r>
      <w:r w:rsidR="003311A5" w:rsidRPr="00BC1C74">
        <w:rPr>
          <w:rFonts w:cs="Arial"/>
        </w:rPr>
        <w:t>t</w:t>
      </w:r>
      <w:r w:rsidRPr="00BC1C74">
        <w:rPr>
          <w:rFonts w:cs="Arial"/>
        </w:rPr>
        <w:t xml:space="preserve">his job description reflects the present requirements of the post. As duties and responsibilities change and develop the job description will be reviewed and be subject to amendment in consultation with the job holder. </w:t>
      </w:r>
    </w:p>
    <w:p w14:paraId="0C9A65E6" w14:textId="77777777" w:rsidR="00D83F29" w:rsidRPr="00BC1C74" w:rsidRDefault="00D83F29" w:rsidP="003311A5">
      <w:pPr>
        <w:rPr>
          <w:rFonts w:cs="Arial"/>
        </w:rPr>
      </w:pPr>
    </w:p>
    <w:tbl>
      <w:tblPr>
        <w:tblStyle w:val="TableGrid"/>
        <w:tblW w:w="5000" w:type="pct"/>
        <w:tblLook w:val="04A0" w:firstRow="1" w:lastRow="0" w:firstColumn="1" w:lastColumn="0" w:noHBand="0" w:noVBand="1"/>
      </w:tblPr>
      <w:tblGrid>
        <w:gridCol w:w="4868"/>
        <w:gridCol w:w="4868"/>
      </w:tblGrid>
      <w:tr w:rsidR="003311A5" w:rsidRPr="00BC1C74" w14:paraId="2991ADDF" w14:textId="77777777" w:rsidTr="003311A5">
        <w:tc>
          <w:tcPr>
            <w:tcW w:w="2500" w:type="pct"/>
            <w:tcMar>
              <w:top w:w="108" w:type="dxa"/>
              <w:bottom w:w="108" w:type="dxa"/>
            </w:tcMar>
          </w:tcPr>
          <w:p w14:paraId="1A43D4B1" w14:textId="77777777" w:rsidR="003311A5" w:rsidRPr="00BC1C74" w:rsidRDefault="003311A5" w:rsidP="003311A5">
            <w:pPr>
              <w:rPr>
                <w:rFonts w:cs="Arial"/>
              </w:rPr>
            </w:pPr>
            <w:r w:rsidRPr="00313514">
              <w:rPr>
                <w:rFonts w:cs="Arial"/>
                <w:b/>
                <w:color w:val="E36C0A" w:themeColor="accent6" w:themeShade="BF"/>
              </w:rPr>
              <w:t xml:space="preserve">Signed by: </w:t>
            </w:r>
          </w:p>
        </w:tc>
        <w:tc>
          <w:tcPr>
            <w:tcW w:w="2500" w:type="pct"/>
            <w:tcMar>
              <w:top w:w="108" w:type="dxa"/>
              <w:bottom w:w="108" w:type="dxa"/>
            </w:tcMar>
          </w:tcPr>
          <w:p w14:paraId="37433D41" w14:textId="77777777" w:rsidR="003311A5" w:rsidRPr="00BC1C74" w:rsidRDefault="003311A5" w:rsidP="003311A5">
            <w:pPr>
              <w:rPr>
                <w:rFonts w:cs="Arial"/>
                <w:b/>
              </w:rPr>
            </w:pPr>
            <w:r w:rsidRPr="00313514">
              <w:rPr>
                <w:rFonts w:cs="Arial"/>
                <w:b/>
                <w:color w:val="E36C0A" w:themeColor="accent6" w:themeShade="BF"/>
              </w:rPr>
              <w:t xml:space="preserve">Date: </w:t>
            </w:r>
          </w:p>
        </w:tc>
      </w:tr>
      <w:tr w:rsidR="00A0358B" w:rsidRPr="00BC1C74" w14:paraId="1DBA37FC" w14:textId="77777777" w:rsidTr="003311A5">
        <w:tc>
          <w:tcPr>
            <w:tcW w:w="2500" w:type="pct"/>
            <w:tcMar>
              <w:top w:w="108" w:type="dxa"/>
              <w:bottom w:w="108" w:type="dxa"/>
            </w:tcMar>
          </w:tcPr>
          <w:p w14:paraId="235A05D8" w14:textId="77777777" w:rsidR="00A0358B" w:rsidRPr="00313514" w:rsidRDefault="00A0358B" w:rsidP="003311A5">
            <w:pPr>
              <w:rPr>
                <w:rFonts w:cs="Arial"/>
                <w:b/>
                <w:color w:val="E36C0A" w:themeColor="accent6" w:themeShade="BF"/>
              </w:rPr>
            </w:pPr>
          </w:p>
        </w:tc>
        <w:tc>
          <w:tcPr>
            <w:tcW w:w="2500" w:type="pct"/>
            <w:tcMar>
              <w:top w:w="108" w:type="dxa"/>
              <w:bottom w:w="108" w:type="dxa"/>
            </w:tcMar>
          </w:tcPr>
          <w:p w14:paraId="4F9EE4BE" w14:textId="77777777" w:rsidR="00A0358B" w:rsidRPr="00313514" w:rsidRDefault="00A0358B" w:rsidP="003311A5">
            <w:pPr>
              <w:rPr>
                <w:rFonts w:cs="Arial"/>
                <w:b/>
                <w:color w:val="E36C0A" w:themeColor="accent6" w:themeShade="BF"/>
              </w:rPr>
            </w:pPr>
          </w:p>
        </w:tc>
      </w:tr>
    </w:tbl>
    <w:p w14:paraId="54C813E2" w14:textId="77777777" w:rsidR="00865C9B" w:rsidRDefault="00865C9B">
      <w:pPr>
        <w:rPr>
          <w:rFonts w:eastAsiaTheme="majorEastAsia" w:cs="Arial"/>
          <w:b/>
          <w:bCs/>
          <w:color w:val="00645C"/>
          <w:sz w:val="28"/>
          <w:szCs w:val="28"/>
        </w:rPr>
        <w:sectPr w:rsidR="00865C9B" w:rsidSect="00A83317">
          <w:footerReference w:type="default" r:id="rId12"/>
          <w:pgSz w:w="11906" w:h="16838"/>
          <w:pgMar w:top="1440" w:right="1080" w:bottom="1440" w:left="1080" w:header="708" w:footer="708" w:gutter="0"/>
          <w:cols w:space="708"/>
          <w:docGrid w:linePitch="360"/>
        </w:sectPr>
      </w:pPr>
    </w:p>
    <w:p w14:paraId="717075E3" w14:textId="6D9D6C7C" w:rsidR="000875CE" w:rsidRDefault="000875CE" w:rsidP="000875CE">
      <w:pPr>
        <w:pStyle w:val="Heading1"/>
        <w:rPr>
          <w:rFonts w:cs="Arial"/>
          <w:color w:val="E36C0A" w:themeColor="accent6" w:themeShade="BF"/>
        </w:rPr>
      </w:pPr>
      <w:r w:rsidRPr="00735384">
        <w:rPr>
          <w:rFonts w:cs="Arial"/>
          <w:color w:val="E36C0A" w:themeColor="accent6" w:themeShade="BF"/>
        </w:rPr>
        <w:lastRenderedPageBreak/>
        <w:t>Person specification</w:t>
      </w:r>
    </w:p>
    <w:p w14:paraId="4B57CFC0" w14:textId="77777777" w:rsidR="009B5050" w:rsidRPr="009B5050" w:rsidRDefault="009B5050" w:rsidP="009B5050"/>
    <w:tbl>
      <w:tblPr>
        <w:tblStyle w:val="TableGrid"/>
        <w:tblW w:w="5000" w:type="pct"/>
        <w:tblLook w:val="04A0" w:firstRow="1" w:lastRow="0" w:firstColumn="1" w:lastColumn="0" w:noHBand="0" w:noVBand="1"/>
      </w:tblPr>
      <w:tblGrid>
        <w:gridCol w:w="6944"/>
        <w:gridCol w:w="1396"/>
        <w:gridCol w:w="1396"/>
      </w:tblGrid>
      <w:tr w:rsidR="00735384" w:rsidRPr="00735384" w14:paraId="43F8FA4D" w14:textId="77777777" w:rsidTr="24078BD4">
        <w:tc>
          <w:tcPr>
            <w:tcW w:w="3566" w:type="pct"/>
            <w:tcMar>
              <w:top w:w="108" w:type="dxa"/>
              <w:bottom w:w="108" w:type="dxa"/>
            </w:tcMar>
          </w:tcPr>
          <w:p w14:paraId="02677F9A" w14:textId="77777777" w:rsidR="000875CE" w:rsidRPr="00735384" w:rsidRDefault="000875CE" w:rsidP="00763327">
            <w:pPr>
              <w:rPr>
                <w:rFonts w:cs="Arial"/>
                <w:color w:val="E36C0A" w:themeColor="accent6" w:themeShade="BF"/>
              </w:rPr>
            </w:pPr>
            <w:r w:rsidRPr="00735384">
              <w:rPr>
                <w:rFonts w:cs="Arial"/>
                <w:b/>
                <w:color w:val="E36C0A" w:themeColor="accent6" w:themeShade="BF"/>
              </w:rPr>
              <w:t>Criteria</w:t>
            </w:r>
          </w:p>
        </w:tc>
        <w:tc>
          <w:tcPr>
            <w:tcW w:w="717" w:type="pct"/>
            <w:tcBorders>
              <w:bottom w:val="single" w:sz="4" w:space="0" w:color="auto"/>
            </w:tcBorders>
            <w:tcMar>
              <w:top w:w="108" w:type="dxa"/>
              <w:bottom w:w="108" w:type="dxa"/>
            </w:tcMar>
          </w:tcPr>
          <w:p w14:paraId="5796ED6B" w14:textId="77777777" w:rsidR="000875CE" w:rsidRPr="00735384" w:rsidRDefault="000875CE" w:rsidP="00763327">
            <w:pPr>
              <w:jc w:val="center"/>
              <w:rPr>
                <w:rFonts w:cs="Arial"/>
                <w:b/>
                <w:color w:val="E36C0A" w:themeColor="accent6" w:themeShade="BF"/>
              </w:rPr>
            </w:pPr>
            <w:r w:rsidRPr="00735384">
              <w:rPr>
                <w:rFonts w:cs="Arial"/>
                <w:b/>
                <w:color w:val="E36C0A" w:themeColor="accent6" w:themeShade="BF"/>
              </w:rPr>
              <w:t>Essential</w:t>
            </w:r>
          </w:p>
        </w:tc>
        <w:tc>
          <w:tcPr>
            <w:tcW w:w="717" w:type="pct"/>
            <w:tcBorders>
              <w:bottom w:val="single" w:sz="4" w:space="0" w:color="auto"/>
            </w:tcBorders>
            <w:tcMar>
              <w:top w:w="108" w:type="dxa"/>
              <w:bottom w:w="108" w:type="dxa"/>
            </w:tcMar>
          </w:tcPr>
          <w:p w14:paraId="541EFDBC" w14:textId="77777777" w:rsidR="000875CE" w:rsidRPr="00735384" w:rsidRDefault="000875CE" w:rsidP="00763327">
            <w:pPr>
              <w:jc w:val="center"/>
              <w:rPr>
                <w:rFonts w:cs="Arial"/>
                <w:b/>
                <w:color w:val="E36C0A" w:themeColor="accent6" w:themeShade="BF"/>
              </w:rPr>
            </w:pPr>
            <w:r w:rsidRPr="00735384">
              <w:rPr>
                <w:rFonts w:cs="Arial"/>
                <w:b/>
                <w:color w:val="E36C0A" w:themeColor="accent6" w:themeShade="BF"/>
              </w:rPr>
              <w:t>Desirable</w:t>
            </w:r>
          </w:p>
        </w:tc>
      </w:tr>
      <w:tr w:rsidR="00735384" w:rsidRPr="00735384" w14:paraId="6043F940" w14:textId="77777777" w:rsidTr="24078BD4">
        <w:tc>
          <w:tcPr>
            <w:tcW w:w="3566" w:type="pct"/>
            <w:tcBorders>
              <w:right w:val="nil"/>
            </w:tcBorders>
            <w:tcMar>
              <w:top w:w="108" w:type="dxa"/>
              <w:bottom w:w="108" w:type="dxa"/>
            </w:tcMar>
          </w:tcPr>
          <w:p w14:paraId="41A7301E" w14:textId="77777777" w:rsidR="000875CE" w:rsidRPr="00735384" w:rsidRDefault="000875CE" w:rsidP="00763327">
            <w:pPr>
              <w:rPr>
                <w:rFonts w:cs="Arial"/>
                <w:b/>
                <w:color w:val="E36C0A" w:themeColor="accent6" w:themeShade="BF"/>
              </w:rPr>
            </w:pPr>
            <w:r w:rsidRPr="00735384">
              <w:rPr>
                <w:rFonts w:cs="Arial"/>
                <w:b/>
                <w:color w:val="E36C0A" w:themeColor="accent6" w:themeShade="BF"/>
              </w:rPr>
              <w:t>Qualifications</w:t>
            </w:r>
          </w:p>
        </w:tc>
        <w:tc>
          <w:tcPr>
            <w:tcW w:w="717" w:type="pct"/>
            <w:tcBorders>
              <w:left w:val="nil"/>
              <w:right w:val="nil"/>
            </w:tcBorders>
            <w:tcMar>
              <w:top w:w="108" w:type="dxa"/>
              <w:bottom w:w="108" w:type="dxa"/>
            </w:tcMar>
          </w:tcPr>
          <w:p w14:paraId="45EDC810" w14:textId="77777777" w:rsidR="000875CE" w:rsidRPr="00735384" w:rsidRDefault="000875CE" w:rsidP="00763327">
            <w:pPr>
              <w:jc w:val="center"/>
              <w:rPr>
                <w:rFonts w:cs="Arial"/>
                <w:b/>
                <w:color w:val="E36C0A" w:themeColor="accent6" w:themeShade="BF"/>
              </w:rPr>
            </w:pPr>
          </w:p>
        </w:tc>
        <w:tc>
          <w:tcPr>
            <w:tcW w:w="717" w:type="pct"/>
            <w:tcBorders>
              <w:left w:val="nil"/>
            </w:tcBorders>
            <w:tcMar>
              <w:top w:w="108" w:type="dxa"/>
              <w:bottom w:w="108" w:type="dxa"/>
            </w:tcMar>
          </w:tcPr>
          <w:p w14:paraId="4E20ED7F" w14:textId="77777777" w:rsidR="000875CE" w:rsidRPr="00735384" w:rsidRDefault="000875CE" w:rsidP="00763327">
            <w:pPr>
              <w:jc w:val="center"/>
              <w:rPr>
                <w:rFonts w:cs="Arial"/>
                <w:b/>
                <w:color w:val="E36C0A" w:themeColor="accent6" w:themeShade="BF"/>
              </w:rPr>
            </w:pPr>
          </w:p>
        </w:tc>
      </w:tr>
      <w:tr w:rsidR="000875CE" w:rsidRPr="00BC1C74" w14:paraId="459B7150" w14:textId="77777777" w:rsidTr="24078BD4">
        <w:tc>
          <w:tcPr>
            <w:tcW w:w="3566" w:type="pct"/>
            <w:tcMar>
              <w:top w:w="108" w:type="dxa"/>
              <w:bottom w:w="108" w:type="dxa"/>
            </w:tcMar>
          </w:tcPr>
          <w:p w14:paraId="15B47BFD" w14:textId="77777777" w:rsidR="00BB0A98" w:rsidRPr="00273693" w:rsidRDefault="00BB0A98" w:rsidP="00BB0A98">
            <w:pPr>
              <w:rPr>
                <w:rFonts w:eastAsia="Times New Roman" w:cs="Arial"/>
                <w:szCs w:val="20"/>
              </w:rPr>
            </w:pPr>
            <w:r w:rsidRPr="00D50999">
              <w:rPr>
                <w:rFonts w:eastAsia="Times New Roman" w:cs="Arial"/>
                <w:szCs w:val="20"/>
              </w:rPr>
              <w:t>Master’s</w:t>
            </w:r>
            <w:r>
              <w:rPr>
                <w:rFonts w:eastAsia="Times New Roman" w:cs="Arial"/>
                <w:szCs w:val="20"/>
              </w:rPr>
              <w:t xml:space="preserve"> degree</w:t>
            </w:r>
            <w:r w:rsidRPr="00D50999">
              <w:rPr>
                <w:rFonts w:eastAsia="Times New Roman" w:cs="Arial"/>
                <w:szCs w:val="20"/>
              </w:rPr>
              <w:t xml:space="preserve"> in </w:t>
            </w:r>
            <w:r w:rsidRPr="00273693">
              <w:rPr>
                <w:rFonts w:eastAsia="Times New Roman" w:cs="Arial"/>
                <w:szCs w:val="20"/>
              </w:rPr>
              <w:t>or relevant post-graduate qualifications in</w:t>
            </w:r>
            <w:r>
              <w:rPr>
                <w:rFonts w:eastAsia="Times New Roman" w:cs="Arial"/>
                <w:szCs w:val="20"/>
              </w:rPr>
              <w:t xml:space="preserve"> </w:t>
            </w:r>
            <w:r w:rsidRPr="00273693">
              <w:rPr>
                <w:rFonts w:eastAsia="Times New Roman" w:cs="Arial"/>
                <w:szCs w:val="20"/>
              </w:rPr>
              <w:t>social</w:t>
            </w:r>
          </w:p>
          <w:p w14:paraId="2ABDFD78" w14:textId="13774BF0" w:rsidR="000875CE" w:rsidRPr="00735384" w:rsidRDefault="00BB0A98" w:rsidP="00BB0A98">
            <w:pPr>
              <w:rPr>
                <w:rFonts w:eastAsia="Times New Roman" w:cs="Arial"/>
                <w:szCs w:val="20"/>
              </w:rPr>
            </w:pPr>
            <w:r w:rsidRPr="00273693">
              <w:rPr>
                <w:rFonts w:eastAsia="Times New Roman" w:cs="Arial"/>
                <w:szCs w:val="20"/>
              </w:rPr>
              <w:t>sciences (e.g. international development, public health</w:t>
            </w:r>
            <w:r>
              <w:rPr>
                <w:rFonts w:eastAsia="Times New Roman" w:cs="Arial"/>
                <w:szCs w:val="20"/>
              </w:rPr>
              <w:t>, monitoring and evaluation,</w:t>
            </w:r>
            <w:r w:rsidRPr="00273693">
              <w:rPr>
                <w:rFonts w:eastAsia="Times New Roman" w:cs="Arial"/>
                <w:szCs w:val="20"/>
              </w:rPr>
              <w:t>)</w:t>
            </w:r>
            <w:r>
              <w:rPr>
                <w:rFonts w:eastAsia="Times New Roman" w:cs="Arial"/>
                <w:szCs w:val="20"/>
              </w:rPr>
              <w:t xml:space="preserve"> or other relevant areas</w:t>
            </w:r>
            <w:r w:rsidR="006C1EB2">
              <w:rPr>
                <w:rFonts w:eastAsia="Times New Roman" w:cs="Arial"/>
                <w:szCs w:val="20"/>
              </w:rPr>
              <w:t xml:space="preserve">, </w:t>
            </w:r>
            <w:r w:rsidR="00735384" w:rsidRPr="006C1EB2">
              <w:rPr>
                <w:rFonts w:eastAsia="Times New Roman" w:cs="Arial"/>
                <w:b/>
                <w:bCs/>
                <w:szCs w:val="20"/>
              </w:rPr>
              <w:t>alternatively,</w:t>
            </w:r>
            <w:r w:rsidR="00735384">
              <w:rPr>
                <w:rFonts w:eastAsia="Times New Roman" w:cs="Arial"/>
                <w:szCs w:val="20"/>
              </w:rPr>
              <w:t xml:space="preserve"> 7 years demonstrated professional experience in an MEL role</w:t>
            </w:r>
            <w:r w:rsidR="009B5050">
              <w:rPr>
                <w:rFonts w:eastAsia="Times New Roman" w:cs="Arial"/>
                <w:szCs w:val="20"/>
              </w:rPr>
              <w:t xml:space="preserve"> with a focus on learning</w:t>
            </w:r>
            <w:r w:rsidR="00735384">
              <w:rPr>
                <w:rFonts w:eastAsia="Times New Roman" w:cs="Arial"/>
                <w:szCs w:val="20"/>
              </w:rPr>
              <w:t>.</w:t>
            </w:r>
          </w:p>
        </w:tc>
        <w:tc>
          <w:tcPr>
            <w:tcW w:w="717" w:type="pct"/>
            <w:tcMar>
              <w:top w:w="108" w:type="dxa"/>
              <w:bottom w:w="108" w:type="dxa"/>
            </w:tcMar>
          </w:tcPr>
          <w:p w14:paraId="54A81C7F" w14:textId="69FCEC9D" w:rsidR="006C1EB2" w:rsidRPr="006C1EB2" w:rsidRDefault="006C1EB2" w:rsidP="006C1EB2">
            <w:pPr>
              <w:jc w:val="center"/>
              <w:rPr>
                <w:rFonts w:ascii="Wingdings" w:eastAsia="Wingdings" w:hAnsi="Wingdings" w:cs="Wingdings"/>
              </w:rPr>
            </w:pPr>
            <w:r w:rsidRPr="00BC1C74">
              <w:rPr>
                <w:rFonts w:ascii="Wingdings" w:eastAsia="Wingdings" w:hAnsi="Wingdings" w:cs="Wingdings"/>
              </w:rPr>
              <w:t>ü</w:t>
            </w:r>
          </w:p>
          <w:p w14:paraId="55B1A9AD" w14:textId="466EE697" w:rsidR="000875CE" w:rsidRPr="00BC1C74" w:rsidRDefault="000875CE" w:rsidP="00763327">
            <w:pPr>
              <w:jc w:val="center"/>
              <w:rPr>
                <w:rFonts w:cs="Arial"/>
              </w:rPr>
            </w:pPr>
          </w:p>
        </w:tc>
        <w:tc>
          <w:tcPr>
            <w:tcW w:w="717" w:type="pct"/>
            <w:tcMar>
              <w:top w:w="108" w:type="dxa"/>
              <w:bottom w:w="108" w:type="dxa"/>
            </w:tcMar>
          </w:tcPr>
          <w:p w14:paraId="463A8B5F" w14:textId="505A25A7" w:rsidR="00735384" w:rsidRDefault="00735384" w:rsidP="006C1EB2">
            <w:pPr>
              <w:rPr>
                <w:rFonts w:cs="Arial"/>
                <w:sz w:val="12"/>
                <w:szCs w:val="12"/>
              </w:rPr>
            </w:pPr>
          </w:p>
          <w:p w14:paraId="1BC73DD2" w14:textId="77777777" w:rsidR="000875CE" w:rsidRPr="00BC1C74" w:rsidRDefault="000875CE" w:rsidP="00763327">
            <w:pPr>
              <w:rPr>
                <w:rFonts w:cs="Arial"/>
              </w:rPr>
            </w:pPr>
          </w:p>
        </w:tc>
      </w:tr>
      <w:tr w:rsidR="00735384" w:rsidRPr="00735384" w14:paraId="2B25A60B" w14:textId="77777777" w:rsidTr="24078BD4">
        <w:tc>
          <w:tcPr>
            <w:tcW w:w="3566" w:type="pct"/>
            <w:tcBorders>
              <w:right w:val="nil"/>
            </w:tcBorders>
            <w:tcMar>
              <w:top w:w="108" w:type="dxa"/>
              <w:bottom w:w="108" w:type="dxa"/>
            </w:tcMar>
          </w:tcPr>
          <w:p w14:paraId="7756E399" w14:textId="77777777" w:rsidR="000875CE" w:rsidRPr="00735384" w:rsidRDefault="000875CE" w:rsidP="00763327">
            <w:pPr>
              <w:contextualSpacing/>
              <w:rPr>
                <w:rFonts w:cs="Arial"/>
                <w:color w:val="E36C0A" w:themeColor="accent6" w:themeShade="BF"/>
                <w:szCs w:val="20"/>
              </w:rPr>
            </w:pPr>
            <w:r w:rsidRPr="00735384">
              <w:rPr>
                <w:rFonts w:cs="Arial"/>
                <w:b/>
                <w:color w:val="E36C0A" w:themeColor="accent6" w:themeShade="BF"/>
                <w:szCs w:val="20"/>
              </w:rPr>
              <w:t>Experience</w:t>
            </w:r>
          </w:p>
        </w:tc>
        <w:tc>
          <w:tcPr>
            <w:tcW w:w="717" w:type="pct"/>
            <w:tcBorders>
              <w:left w:val="nil"/>
              <w:right w:val="nil"/>
            </w:tcBorders>
            <w:tcMar>
              <w:top w:w="108" w:type="dxa"/>
              <w:bottom w:w="108" w:type="dxa"/>
            </w:tcMar>
          </w:tcPr>
          <w:p w14:paraId="5B66671B" w14:textId="77777777" w:rsidR="000875CE" w:rsidRPr="00735384" w:rsidRDefault="000875CE" w:rsidP="00763327">
            <w:pPr>
              <w:jc w:val="center"/>
              <w:rPr>
                <w:rFonts w:cs="Arial"/>
                <w:color w:val="E36C0A" w:themeColor="accent6" w:themeShade="BF"/>
              </w:rPr>
            </w:pPr>
          </w:p>
        </w:tc>
        <w:tc>
          <w:tcPr>
            <w:tcW w:w="717" w:type="pct"/>
            <w:tcBorders>
              <w:left w:val="nil"/>
            </w:tcBorders>
            <w:tcMar>
              <w:top w:w="108" w:type="dxa"/>
              <w:bottom w:w="108" w:type="dxa"/>
            </w:tcMar>
          </w:tcPr>
          <w:p w14:paraId="028E60D6" w14:textId="77777777" w:rsidR="000875CE" w:rsidRPr="00735384" w:rsidRDefault="000875CE" w:rsidP="00763327">
            <w:pPr>
              <w:jc w:val="center"/>
              <w:rPr>
                <w:rFonts w:cs="Arial"/>
                <w:color w:val="E36C0A" w:themeColor="accent6" w:themeShade="BF"/>
              </w:rPr>
            </w:pPr>
          </w:p>
        </w:tc>
      </w:tr>
      <w:tr w:rsidR="00BB0A98" w:rsidRPr="00BC1C74" w14:paraId="1AED0B2B" w14:textId="77777777" w:rsidTr="24078BD4">
        <w:trPr>
          <w:trHeight w:val="308"/>
        </w:trPr>
        <w:tc>
          <w:tcPr>
            <w:tcW w:w="3566" w:type="pct"/>
            <w:tcMar>
              <w:top w:w="108" w:type="dxa"/>
              <w:bottom w:w="108" w:type="dxa"/>
            </w:tcMar>
          </w:tcPr>
          <w:p w14:paraId="1226ECBE" w14:textId="7660A1E2" w:rsidR="00BB0A98" w:rsidRPr="005C1649" w:rsidRDefault="008965CE" w:rsidP="00BB0A98">
            <w:pPr>
              <w:contextualSpacing/>
              <w:rPr>
                <w:rFonts w:eastAsia="Times New Roman"/>
                <w:bCs/>
                <w:color w:val="000000"/>
                <w:lang w:eastAsia="en-GB"/>
              </w:rPr>
            </w:pPr>
            <w:r>
              <w:rPr>
                <w:rFonts w:eastAsia="Times New Roman"/>
                <w:bCs/>
                <w:color w:val="000000"/>
                <w:lang w:eastAsia="en-GB"/>
              </w:rPr>
              <w:t>Mid-leve</w:t>
            </w:r>
            <w:r w:rsidR="00287861">
              <w:rPr>
                <w:rFonts w:eastAsia="Times New Roman"/>
                <w:bCs/>
                <w:color w:val="000000"/>
                <w:lang w:eastAsia="en-GB"/>
              </w:rPr>
              <w:t>l</w:t>
            </w:r>
            <w:r w:rsidR="00BB0A98" w:rsidRPr="005C1649">
              <w:rPr>
                <w:rFonts w:eastAsia="Times New Roman"/>
                <w:bCs/>
                <w:color w:val="000000"/>
                <w:lang w:eastAsia="en-GB"/>
              </w:rPr>
              <w:t xml:space="preserve"> technical expertise in the field of health programme monitoring,</w:t>
            </w:r>
          </w:p>
          <w:p w14:paraId="2908E9E9" w14:textId="64F91CA4" w:rsidR="00BB0A98" w:rsidRDefault="00BB0A98" w:rsidP="00BB0A98">
            <w:pPr>
              <w:contextualSpacing/>
              <w:rPr>
                <w:rFonts w:eastAsia="Times New Roman"/>
                <w:bCs/>
                <w:color w:val="000000"/>
                <w:lang w:eastAsia="en-GB"/>
              </w:rPr>
            </w:pPr>
            <w:r w:rsidRPr="005C1649">
              <w:rPr>
                <w:rFonts w:eastAsia="Times New Roman"/>
                <w:bCs/>
                <w:color w:val="000000"/>
                <w:lang w:eastAsia="en-GB"/>
              </w:rPr>
              <w:t xml:space="preserve">evaluation and learning, including leadership of </w:t>
            </w:r>
            <w:r w:rsidR="009B5050">
              <w:rPr>
                <w:rFonts w:eastAsia="Times New Roman"/>
                <w:bCs/>
                <w:color w:val="000000"/>
                <w:lang w:eastAsia="en-GB"/>
              </w:rPr>
              <w:t xml:space="preserve">learning </w:t>
            </w:r>
            <w:r w:rsidRPr="005C1649">
              <w:rPr>
                <w:rFonts w:eastAsia="Times New Roman"/>
                <w:bCs/>
                <w:color w:val="000000"/>
                <w:lang w:eastAsia="en-GB"/>
              </w:rPr>
              <w:t>system development and</w:t>
            </w:r>
            <w:r w:rsidR="009B5050">
              <w:rPr>
                <w:rFonts w:eastAsia="Times New Roman"/>
                <w:bCs/>
                <w:color w:val="000000"/>
                <w:lang w:eastAsia="en-GB"/>
              </w:rPr>
              <w:t xml:space="preserve"> </w:t>
            </w:r>
            <w:r w:rsidRPr="005C1649">
              <w:rPr>
                <w:rFonts w:eastAsia="Times New Roman"/>
                <w:bCs/>
                <w:color w:val="000000"/>
                <w:lang w:eastAsia="en-GB"/>
              </w:rPr>
              <w:t>implementation</w:t>
            </w:r>
          </w:p>
          <w:p w14:paraId="560263CA" w14:textId="77777777" w:rsidR="00BB0A98" w:rsidRDefault="00BB0A98" w:rsidP="00BB0A98">
            <w:pPr>
              <w:contextualSpacing/>
              <w:rPr>
                <w:rFonts w:eastAsia="Times New Roman"/>
                <w:bCs/>
                <w:color w:val="000000"/>
                <w:lang w:eastAsia="en-GB"/>
              </w:rPr>
            </w:pPr>
          </w:p>
          <w:p w14:paraId="7B46F695" w14:textId="3583FA3E" w:rsidR="00287861" w:rsidRDefault="009B5050" w:rsidP="009B5050">
            <w:pPr>
              <w:spacing w:after="160" w:line="259" w:lineRule="auto"/>
            </w:pPr>
            <w:r w:rsidRPr="00F05B4D">
              <w:t>Able to confidently engage with multiple stakeholders in order to gain consensus around</w:t>
            </w:r>
            <w:r>
              <w:t xml:space="preserve"> integrating learning int programme M&amp;E</w:t>
            </w:r>
            <w:r w:rsidRPr="00F05B4D">
              <w:t xml:space="preserve"> frameworks and processes.</w:t>
            </w:r>
          </w:p>
          <w:p w14:paraId="34BB158C" w14:textId="4D027716" w:rsidR="00BB0A98" w:rsidRDefault="00BB0A98" w:rsidP="00BB0A98">
            <w:pPr>
              <w:contextualSpacing/>
            </w:pPr>
            <w:r>
              <w:t>Experience strengthening individual and institutional MEL capacity</w:t>
            </w:r>
            <w:r w:rsidR="009B5050">
              <w:t>, with a focus on learning</w:t>
            </w:r>
          </w:p>
          <w:p w14:paraId="08367B8C" w14:textId="77777777" w:rsidR="00BB0A98" w:rsidRDefault="00BB0A98" w:rsidP="00BB0A98">
            <w:pPr>
              <w:contextualSpacing/>
              <w:rPr>
                <w:bCs/>
                <w:color w:val="000000"/>
                <w:lang w:eastAsia="en-GB"/>
              </w:rPr>
            </w:pPr>
          </w:p>
          <w:p w14:paraId="2D2E5B9D" w14:textId="0AD7AE44" w:rsidR="00BB0A98" w:rsidRDefault="00BB0A98" w:rsidP="00BB0A98">
            <w:pPr>
              <w:contextualSpacing/>
            </w:pPr>
            <w:r>
              <w:t xml:space="preserve">Experience, with demonstrated results of managing complex </w:t>
            </w:r>
            <w:r w:rsidR="009B5050">
              <w:t>MEL</w:t>
            </w:r>
            <w:r>
              <w:t xml:space="preserve"> systems and sources, including qualitative and quantitative data collection and analysis</w:t>
            </w:r>
          </w:p>
          <w:p w14:paraId="667D60E3" w14:textId="77777777" w:rsidR="00BB0A98" w:rsidRDefault="00BB0A98" w:rsidP="00BB0A98">
            <w:pPr>
              <w:contextualSpacing/>
            </w:pPr>
          </w:p>
          <w:p w14:paraId="7808C27E" w14:textId="77777777" w:rsidR="00BB0A98" w:rsidRDefault="00BB0A98" w:rsidP="00BB0A98">
            <w:pPr>
              <w:contextualSpacing/>
            </w:pPr>
            <w:r>
              <w:t>Knowledge of data analysis software programmes (e.g. STATA, SPSS,) and able to produce analysis and graphic representation of results</w:t>
            </w:r>
          </w:p>
          <w:p w14:paraId="031A62A6" w14:textId="77777777" w:rsidR="00BB0A98" w:rsidRDefault="00BB0A98" w:rsidP="00BB0A98">
            <w:pPr>
              <w:contextualSpacing/>
              <w:rPr>
                <w:rFonts w:eastAsia="Times New Roman"/>
                <w:bCs/>
                <w:color w:val="000000"/>
                <w:lang w:eastAsia="en-GB"/>
              </w:rPr>
            </w:pPr>
          </w:p>
          <w:p w14:paraId="26472BFC" w14:textId="010F5D24" w:rsidR="00BB0A98" w:rsidRDefault="00287861" w:rsidP="00BB0A98">
            <w:pPr>
              <w:contextualSpacing/>
              <w:rPr>
                <w:bCs/>
                <w:color w:val="000000"/>
                <w:lang w:eastAsia="en-GB"/>
              </w:rPr>
            </w:pPr>
            <w:r>
              <w:rPr>
                <w:bCs/>
                <w:color w:val="000000"/>
                <w:lang w:eastAsia="en-GB"/>
              </w:rPr>
              <w:t>U</w:t>
            </w:r>
            <w:r w:rsidR="00BB0A98">
              <w:rPr>
                <w:bCs/>
                <w:color w:val="000000"/>
                <w:lang w:eastAsia="en-GB"/>
              </w:rPr>
              <w:t xml:space="preserve">nderstanding </w:t>
            </w:r>
            <w:r>
              <w:rPr>
                <w:bCs/>
                <w:color w:val="000000"/>
                <w:lang w:eastAsia="en-GB"/>
              </w:rPr>
              <w:t>of</w:t>
            </w:r>
            <w:r w:rsidR="00BB0A98">
              <w:rPr>
                <w:bCs/>
                <w:color w:val="000000"/>
                <w:lang w:eastAsia="en-GB"/>
              </w:rPr>
              <w:t xml:space="preserve"> mental health and disability</w:t>
            </w:r>
          </w:p>
          <w:p w14:paraId="136F2670" w14:textId="77777777" w:rsidR="00BB0A98" w:rsidRDefault="00BB0A98" w:rsidP="00BB0A98">
            <w:pPr>
              <w:contextualSpacing/>
              <w:rPr>
                <w:bCs/>
                <w:color w:val="000000"/>
                <w:lang w:eastAsia="en-GB"/>
              </w:rPr>
            </w:pPr>
          </w:p>
          <w:p w14:paraId="67F540A2" w14:textId="47D12E50" w:rsidR="008144D2" w:rsidRDefault="008144D2" w:rsidP="00BB0A98">
            <w:pPr>
              <w:contextualSpacing/>
            </w:pPr>
            <w:r>
              <w:t>Understanding of social inclusion, safeguarding and value for money principles for M&amp;E purposes</w:t>
            </w:r>
          </w:p>
          <w:p w14:paraId="017853F1" w14:textId="77777777" w:rsidR="00BB0A98" w:rsidRDefault="00BB0A98" w:rsidP="00BB0A98">
            <w:pPr>
              <w:contextualSpacing/>
            </w:pPr>
          </w:p>
          <w:p w14:paraId="578F860A" w14:textId="0038F290" w:rsidR="00BB0A98" w:rsidRPr="001B08E3" w:rsidRDefault="00BB0A98" w:rsidP="00BB0A98">
            <w:pPr>
              <w:contextualSpacing/>
              <w:rPr>
                <w:rFonts w:cs="Arial"/>
                <w:szCs w:val="20"/>
              </w:rPr>
            </w:pPr>
            <w:r>
              <w:t>Working knowledge of the health and development sector in Ghana</w:t>
            </w:r>
          </w:p>
        </w:tc>
        <w:tc>
          <w:tcPr>
            <w:tcW w:w="717" w:type="pct"/>
            <w:tcMar>
              <w:top w:w="108" w:type="dxa"/>
              <w:bottom w:w="108" w:type="dxa"/>
            </w:tcMar>
          </w:tcPr>
          <w:p w14:paraId="372569E4" w14:textId="77777777" w:rsidR="00BB0A98" w:rsidRDefault="00BB0A98" w:rsidP="00BB0A98">
            <w:pPr>
              <w:jc w:val="center"/>
              <w:rPr>
                <w:rFonts w:cs="Arial"/>
                <w:sz w:val="12"/>
                <w:szCs w:val="12"/>
              </w:rPr>
            </w:pPr>
          </w:p>
          <w:p w14:paraId="315C2C97" w14:textId="77777777" w:rsidR="00BB0A98" w:rsidRDefault="00BB0A98" w:rsidP="00BB0A98">
            <w:pPr>
              <w:jc w:val="center"/>
              <w:rPr>
                <w:rFonts w:cs="Arial"/>
                <w:sz w:val="12"/>
                <w:szCs w:val="12"/>
              </w:rPr>
            </w:pPr>
            <w:r w:rsidRPr="00BC1C74">
              <w:rPr>
                <w:rFonts w:ascii="Wingdings" w:eastAsia="Wingdings" w:hAnsi="Wingdings" w:cs="Wingdings"/>
              </w:rPr>
              <w:t>ü</w:t>
            </w:r>
          </w:p>
          <w:p w14:paraId="382771C0" w14:textId="77777777" w:rsidR="00BB0A98" w:rsidRDefault="00BB0A98" w:rsidP="00BB0A98">
            <w:pPr>
              <w:jc w:val="center"/>
              <w:rPr>
                <w:rFonts w:cs="Arial"/>
                <w:sz w:val="12"/>
                <w:szCs w:val="12"/>
              </w:rPr>
            </w:pPr>
          </w:p>
          <w:p w14:paraId="5C43A4DF" w14:textId="77777777" w:rsidR="00BB0A98" w:rsidRDefault="00BB0A98" w:rsidP="00BB0A98">
            <w:pPr>
              <w:jc w:val="center"/>
              <w:rPr>
                <w:rFonts w:cs="Arial"/>
                <w:sz w:val="12"/>
                <w:szCs w:val="12"/>
              </w:rPr>
            </w:pPr>
          </w:p>
          <w:p w14:paraId="16B6EFB2" w14:textId="77777777" w:rsidR="00BB0A98" w:rsidRDefault="00BB0A98" w:rsidP="008144D2">
            <w:pPr>
              <w:rPr>
                <w:rFonts w:cs="Arial"/>
                <w:sz w:val="12"/>
                <w:szCs w:val="12"/>
              </w:rPr>
            </w:pPr>
          </w:p>
          <w:p w14:paraId="03164DAB" w14:textId="77777777" w:rsidR="00BB0A98" w:rsidRDefault="00BB0A98" w:rsidP="00BB0A98">
            <w:pPr>
              <w:jc w:val="center"/>
              <w:rPr>
                <w:rFonts w:cs="Arial"/>
                <w:sz w:val="12"/>
                <w:szCs w:val="12"/>
              </w:rPr>
            </w:pPr>
          </w:p>
          <w:p w14:paraId="09AE4FF9" w14:textId="77777777" w:rsidR="00BB0A98" w:rsidRDefault="00BB0A98" w:rsidP="00BB0A98">
            <w:pPr>
              <w:jc w:val="center"/>
              <w:rPr>
                <w:rFonts w:cs="Arial"/>
                <w:sz w:val="12"/>
                <w:szCs w:val="12"/>
              </w:rPr>
            </w:pPr>
            <w:r w:rsidRPr="00BC1C74">
              <w:rPr>
                <w:rFonts w:ascii="Wingdings" w:eastAsia="Wingdings" w:hAnsi="Wingdings" w:cs="Wingdings"/>
              </w:rPr>
              <w:t>ü</w:t>
            </w:r>
          </w:p>
          <w:p w14:paraId="7F3EB56F" w14:textId="77777777" w:rsidR="00BB0A98" w:rsidRDefault="00BB0A98" w:rsidP="00BB0A98">
            <w:pPr>
              <w:jc w:val="center"/>
              <w:rPr>
                <w:rFonts w:cs="Arial"/>
                <w:sz w:val="12"/>
                <w:szCs w:val="12"/>
              </w:rPr>
            </w:pPr>
          </w:p>
          <w:p w14:paraId="23C35A14" w14:textId="2323DC5D" w:rsidR="00BB0A98" w:rsidRDefault="00BB0A98" w:rsidP="00BB0A98">
            <w:pPr>
              <w:jc w:val="center"/>
              <w:rPr>
                <w:rFonts w:cs="Arial"/>
                <w:sz w:val="12"/>
                <w:szCs w:val="12"/>
              </w:rPr>
            </w:pPr>
          </w:p>
          <w:p w14:paraId="31C9AC56" w14:textId="20E51CD6" w:rsidR="009B5050" w:rsidRDefault="009B5050" w:rsidP="00BB0A98">
            <w:pPr>
              <w:jc w:val="center"/>
              <w:rPr>
                <w:rFonts w:cs="Arial"/>
                <w:sz w:val="12"/>
                <w:szCs w:val="12"/>
              </w:rPr>
            </w:pPr>
          </w:p>
          <w:p w14:paraId="108FFD0F" w14:textId="7EEBEE94" w:rsidR="009B5050" w:rsidRDefault="009B5050" w:rsidP="00BB0A98">
            <w:pPr>
              <w:jc w:val="center"/>
              <w:rPr>
                <w:rFonts w:cs="Arial"/>
                <w:sz w:val="12"/>
                <w:szCs w:val="12"/>
              </w:rPr>
            </w:pPr>
          </w:p>
          <w:p w14:paraId="3C2CA491" w14:textId="17B231CF" w:rsidR="009B5050" w:rsidRDefault="009B5050" w:rsidP="00BB0A98">
            <w:pPr>
              <w:jc w:val="center"/>
              <w:rPr>
                <w:rFonts w:cs="Arial"/>
                <w:sz w:val="12"/>
                <w:szCs w:val="12"/>
              </w:rPr>
            </w:pPr>
          </w:p>
          <w:p w14:paraId="2A2D9197" w14:textId="77777777" w:rsidR="009B5050" w:rsidRDefault="009B5050" w:rsidP="00BB0A98">
            <w:pPr>
              <w:jc w:val="center"/>
              <w:rPr>
                <w:rFonts w:cs="Arial"/>
                <w:sz w:val="12"/>
                <w:szCs w:val="12"/>
              </w:rPr>
            </w:pPr>
          </w:p>
          <w:p w14:paraId="3B023D54" w14:textId="77777777" w:rsidR="00BB0A98" w:rsidRDefault="00BB0A98" w:rsidP="00BB0A98">
            <w:pPr>
              <w:jc w:val="center"/>
              <w:rPr>
                <w:rFonts w:cs="Arial"/>
                <w:sz w:val="12"/>
                <w:szCs w:val="12"/>
              </w:rPr>
            </w:pPr>
          </w:p>
          <w:p w14:paraId="6A71B919" w14:textId="4E9B3555" w:rsidR="009B5050" w:rsidRDefault="009B5050" w:rsidP="00287861">
            <w:pPr>
              <w:jc w:val="center"/>
              <w:rPr>
                <w:rFonts w:ascii="Wingdings" w:eastAsia="Wingdings" w:hAnsi="Wingdings" w:cs="Wingdings"/>
              </w:rPr>
            </w:pPr>
          </w:p>
          <w:p w14:paraId="3359E1FC" w14:textId="77777777" w:rsidR="00BA1399" w:rsidRDefault="00BA1399" w:rsidP="00287861">
            <w:pPr>
              <w:jc w:val="center"/>
              <w:rPr>
                <w:rFonts w:ascii="Wingdings" w:eastAsia="Wingdings" w:hAnsi="Wingdings" w:cs="Wingdings"/>
              </w:rPr>
            </w:pPr>
          </w:p>
          <w:p w14:paraId="1901E6A7" w14:textId="729F75A9" w:rsidR="00BB0A98" w:rsidRDefault="00BB0A98" w:rsidP="00287861">
            <w:pPr>
              <w:jc w:val="center"/>
              <w:rPr>
                <w:rFonts w:cs="Arial"/>
                <w:sz w:val="12"/>
                <w:szCs w:val="12"/>
              </w:rPr>
            </w:pPr>
            <w:r w:rsidRPr="00BC1C74">
              <w:rPr>
                <w:rFonts w:ascii="Wingdings" w:eastAsia="Wingdings" w:hAnsi="Wingdings" w:cs="Wingdings"/>
              </w:rPr>
              <w:t>ü</w:t>
            </w:r>
          </w:p>
          <w:p w14:paraId="78FA5926" w14:textId="77777777" w:rsidR="00BB0A98" w:rsidRDefault="00BB0A98" w:rsidP="00BB0A98">
            <w:pPr>
              <w:jc w:val="center"/>
              <w:rPr>
                <w:rFonts w:cs="Arial"/>
                <w:sz w:val="12"/>
                <w:szCs w:val="12"/>
              </w:rPr>
            </w:pPr>
          </w:p>
          <w:p w14:paraId="373B07C2" w14:textId="77777777" w:rsidR="00BB0A98" w:rsidRDefault="00BB0A98" w:rsidP="00BB0A98">
            <w:pPr>
              <w:jc w:val="center"/>
              <w:rPr>
                <w:rFonts w:cs="Arial"/>
                <w:sz w:val="12"/>
                <w:szCs w:val="12"/>
              </w:rPr>
            </w:pPr>
          </w:p>
          <w:p w14:paraId="6EA5682D" w14:textId="77777777" w:rsidR="00BB0A98" w:rsidRDefault="00BB0A98" w:rsidP="00BB0A98">
            <w:pPr>
              <w:jc w:val="center"/>
              <w:rPr>
                <w:rFonts w:cs="Arial"/>
                <w:sz w:val="12"/>
                <w:szCs w:val="12"/>
              </w:rPr>
            </w:pPr>
          </w:p>
          <w:p w14:paraId="72337891" w14:textId="77777777" w:rsidR="00287861" w:rsidRDefault="00287861" w:rsidP="00BB0A98">
            <w:pPr>
              <w:jc w:val="center"/>
              <w:rPr>
                <w:rFonts w:cs="Arial"/>
              </w:rPr>
            </w:pPr>
          </w:p>
          <w:p w14:paraId="75B57A8E" w14:textId="77777777" w:rsidR="00BB0A98" w:rsidRDefault="00BB0A98" w:rsidP="00BB0A98">
            <w:pPr>
              <w:jc w:val="center"/>
              <w:rPr>
                <w:rFonts w:cs="Arial"/>
                <w:sz w:val="12"/>
                <w:szCs w:val="12"/>
              </w:rPr>
            </w:pPr>
          </w:p>
          <w:p w14:paraId="4E2B8F39" w14:textId="77777777" w:rsidR="00BB0A98" w:rsidRDefault="00BB0A98" w:rsidP="00BB0A98">
            <w:pPr>
              <w:jc w:val="center"/>
              <w:rPr>
                <w:rFonts w:cs="Arial"/>
                <w:sz w:val="12"/>
                <w:szCs w:val="12"/>
              </w:rPr>
            </w:pPr>
          </w:p>
          <w:p w14:paraId="78225E70" w14:textId="77777777" w:rsidR="00BB0A98" w:rsidRDefault="00BB0A98" w:rsidP="00BB0A98">
            <w:pPr>
              <w:jc w:val="center"/>
              <w:rPr>
                <w:rFonts w:cs="Arial"/>
                <w:sz w:val="12"/>
                <w:szCs w:val="12"/>
              </w:rPr>
            </w:pPr>
          </w:p>
          <w:p w14:paraId="598DDBA2" w14:textId="77777777" w:rsidR="00BB0A98" w:rsidRDefault="00BB0A98" w:rsidP="00BB0A98">
            <w:pPr>
              <w:jc w:val="center"/>
              <w:rPr>
                <w:rFonts w:cs="Arial"/>
                <w:sz w:val="12"/>
                <w:szCs w:val="12"/>
              </w:rPr>
            </w:pPr>
          </w:p>
          <w:p w14:paraId="322FB3E3" w14:textId="77777777" w:rsidR="00BB0A98" w:rsidRDefault="00BB0A98" w:rsidP="00BB0A98">
            <w:pPr>
              <w:jc w:val="center"/>
              <w:rPr>
                <w:rFonts w:cs="Arial"/>
                <w:sz w:val="12"/>
                <w:szCs w:val="12"/>
              </w:rPr>
            </w:pPr>
          </w:p>
          <w:p w14:paraId="6B14E3BA" w14:textId="77777777" w:rsidR="00BB0A98" w:rsidRDefault="00BB0A98" w:rsidP="00BB0A98">
            <w:pPr>
              <w:jc w:val="center"/>
              <w:rPr>
                <w:rFonts w:cs="Arial"/>
                <w:sz w:val="12"/>
                <w:szCs w:val="12"/>
              </w:rPr>
            </w:pPr>
          </w:p>
          <w:p w14:paraId="704EF761" w14:textId="77777777" w:rsidR="00287861" w:rsidRDefault="00287861" w:rsidP="00BB0A98">
            <w:pPr>
              <w:jc w:val="center"/>
              <w:rPr>
                <w:rFonts w:cs="Arial"/>
              </w:rPr>
            </w:pPr>
          </w:p>
          <w:p w14:paraId="4DDAF448" w14:textId="77777777" w:rsidR="00287861" w:rsidRDefault="00287861" w:rsidP="00BB0A98">
            <w:pPr>
              <w:jc w:val="center"/>
              <w:rPr>
                <w:rFonts w:cs="Arial"/>
              </w:rPr>
            </w:pPr>
          </w:p>
          <w:p w14:paraId="34E40D80" w14:textId="77777777" w:rsidR="008144D2" w:rsidRDefault="008144D2" w:rsidP="008144D2">
            <w:pPr>
              <w:jc w:val="center"/>
              <w:rPr>
                <w:rFonts w:cs="Arial"/>
                <w:sz w:val="12"/>
                <w:szCs w:val="12"/>
              </w:rPr>
            </w:pPr>
            <w:r w:rsidRPr="00BC1C74">
              <w:rPr>
                <w:rFonts w:ascii="Wingdings" w:eastAsia="Wingdings" w:hAnsi="Wingdings" w:cs="Wingdings"/>
              </w:rPr>
              <w:t>ü</w:t>
            </w:r>
          </w:p>
          <w:p w14:paraId="468DAC35" w14:textId="77777777" w:rsidR="00BB0A98" w:rsidRDefault="00BB0A98" w:rsidP="008144D2">
            <w:pPr>
              <w:rPr>
                <w:rFonts w:cs="Arial"/>
              </w:rPr>
            </w:pPr>
          </w:p>
          <w:p w14:paraId="5793C56D" w14:textId="77777777" w:rsidR="008144D2" w:rsidRDefault="008144D2" w:rsidP="00BB0A98">
            <w:pPr>
              <w:jc w:val="center"/>
              <w:rPr>
                <w:rFonts w:cs="Arial"/>
              </w:rPr>
            </w:pPr>
          </w:p>
          <w:p w14:paraId="4870A7B1" w14:textId="21EE85EE" w:rsidR="008144D2" w:rsidRPr="008144D2" w:rsidRDefault="008144D2" w:rsidP="008144D2">
            <w:pPr>
              <w:jc w:val="center"/>
              <w:rPr>
                <w:rFonts w:cs="Arial"/>
                <w:sz w:val="12"/>
                <w:szCs w:val="12"/>
              </w:rPr>
            </w:pPr>
            <w:r w:rsidRPr="00BC1C74">
              <w:rPr>
                <w:rFonts w:ascii="Wingdings" w:eastAsia="Wingdings" w:hAnsi="Wingdings" w:cs="Wingdings"/>
              </w:rPr>
              <w:t>ü</w:t>
            </w:r>
          </w:p>
        </w:tc>
        <w:tc>
          <w:tcPr>
            <w:tcW w:w="717" w:type="pct"/>
            <w:tcMar>
              <w:top w:w="108" w:type="dxa"/>
              <w:bottom w:w="108" w:type="dxa"/>
            </w:tcMar>
          </w:tcPr>
          <w:p w14:paraId="22C4F1BD" w14:textId="77777777" w:rsidR="00BB0A98" w:rsidRDefault="00BB0A98" w:rsidP="00BB0A98">
            <w:pPr>
              <w:jc w:val="center"/>
              <w:rPr>
                <w:rFonts w:cs="Arial"/>
              </w:rPr>
            </w:pPr>
          </w:p>
          <w:p w14:paraId="787AA484" w14:textId="77777777" w:rsidR="00BB0A98" w:rsidRDefault="00BB0A98" w:rsidP="00BB0A98">
            <w:pPr>
              <w:jc w:val="center"/>
              <w:rPr>
                <w:rFonts w:cs="Arial"/>
              </w:rPr>
            </w:pPr>
          </w:p>
          <w:p w14:paraId="14065963" w14:textId="77777777" w:rsidR="00BB0A98" w:rsidRDefault="00BB0A98" w:rsidP="00BB0A98">
            <w:pPr>
              <w:jc w:val="center"/>
              <w:rPr>
                <w:rFonts w:cs="Arial"/>
              </w:rPr>
            </w:pPr>
          </w:p>
          <w:p w14:paraId="529FE123" w14:textId="77777777" w:rsidR="00BB0A98" w:rsidRDefault="00BB0A98" w:rsidP="00BB0A98">
            <w:pPr>
              <w:jc w:val="center"/>
              <w:rPr>
                <w:rFonts w:cs="Arial"/>
              </w:rPr>
            </w:pPr>
            <w:r>
              <w:rPr>
                <w:rFonts w:cs="Arial"/>
              </w:rPr>
              <w:br/>
            </w:r>
          </w:p>
          <w:p w14:paraId="5A8CE211" w14:textId="77777777" w:rsidR="00BB0A98" w:rsidRDefault="00BB0A98" w:rsidP="00BB0A98">
            <w:pPr>
              <w:jc w:val="center"/>
              <w:rPr>
                <w:rFonts w:cs="Arial"/>
              </w:rPr>
            </w:pPr>
          </w:p>
          <w:p w14:paraId="69C984A8" w14:textId="77777777" w:rsidR="00BB0A98" w:rsidRDefault="00BB0A98" w:rsidP="00BB0A98">
            <w:pPr>
              <w:jc w:val="center"/>
              <w:rPr>
                <w:rFonts w:cs="Arial"/>
              </w:rPr>
            </w:pPr>
          </w:p>
          <w:p w14:paraId="72F3231B" w14:textId="77777777" w:rsidR="00BB0A98" w:rsidRDefault="00BB0A98" w:rsidP="00BB0A98">
            <w:pPr>
              <w:jc w:val="center"/>
              <w:rPr>
                <w:rFonts w:cs="Arial"/>
              </w:rPr>
            </w:pPr>
          </w:p>
          <w:p w14:paraId="4A44DB3B" w14:textId="77777777" w:rsidR="00BA1399" w:rsidRDefault="00BA1399" w:rsidP="00BA1399">
            <w:pPr>
              <w:jc w:val="center"/>
              <w:rPr>
                <w:rFonts w:cs="Arial"/>
                <w:sz w:val="12"/>
                <w:szCs w:val="12"/>
              </w:rPr>
            </w:pPr>
            <w:r w:rsidRPr="00BC1C74">
              <w:rPr>
                <w:rFonts w:ascii="Wingdings" w:eastAsia="Wingdings" w:hAnsi="Wingdings" w:cs="Wingdings"/>
              </w:rPr>
              <w:t>ü</w:t>
            </w:r>
          </w:p>
          <w:p w14:paraId="7496A93C" w14:textId="77777777" w:rsidR="00BB0A98" w:rsidRDefault="00BB0A98" w:rsidP="00BB0A98">
            <w:pPr>
              <w:jc w:val="center"/>
              <w:rPr>
                <w:rFonts w:cs="Arial"/>
              </w:rPr>
            </w:pPr>
          </w:p>
          <w:p w14:paraId="52E74853" w14:textId="77777777" w:rsidR="00BB0A98" w:rsidRDefault="00BB0A98" w:rsidP="00BB0A98">
            <w:pPr>
              <w:jc w:val="center"/>
              <w:rPr>
                <w:rFonts w:cs="Arial"/>
              </w:rPr>
            </w:pPr>
          </w:p>
          <w:p w14:paraId="44AFE6AB" w14:textId="0F4517DC" w:rsidR="00BB0A98" w:rsidRDefault="00BB0A98" w:rsidP="008144D2">
            <w:pPr>
              <w:rPr>
                <w:rFonts w:cs="Arial"/>
              </w:rPr>
            </w:pPr>
          </w:p>
          <w:p w14:paraId="74A6F836" w14:textId="448D1BE3" w:rsidR="009B5050" w:rsidRDefault="009B5050" w:rsidP="008144D2">
            <w:pPr>
              <w:rPr>
                <w:rFonts w:cs="Arial"/>
              </w:rPr>
            </w:pPr>
          </w:p>
          <w:p w14:paraId="7473BF6F" w14:textId="77777777" w:rsidR="009B5050" w:rsidRDefault="009B5050" w:rsidP="008144D2">
            <w:pPr>
              <w:rPr>
                <w:rFonts w:cs="Arial"/>
              </w:rPr>
            </w:pPr>
          </w:p>
          <w:p w14:paraId="2B310C4F" w14:textId="77777777" w:rsidR="00BB0A98" w:rsidRDefault="00BB0A98" w:rsidP="00BB0A98">
            <w:pPr>
              <w:jc w:val="center"/>
              <w:rPr>
                <w:rFonts w:cs="Arial"/>
              </w:rPr>
            </w:pPr>
          </w:p>
          <w:p w14:paraId="256A7C99" w14:textId="77777777" w:rsidR="008144D2" w:rsidRDefault="008144D2" w:rsidP="008144D2">
            <w:pPr>
              <w:jc w:val="center"/>
              <w:rPr>
                <w:rFonts w:cs="Arial"/>
                <w:sz w:val="12"/>
                <w:szCs w:val="12"/>
              </w:rPr>
            </w:pPr>
            <w:r w:rsidRPr="00BC1C74">
              <w:rPr>
                <w:rFonts w:ascii="Wingdings" w:eastAsia="Wingdings" w:hAnsi="Wingdings" w:cs="Wingdings"/>
              </w:rPr>
              <w:t>ü</w:t>
            </w:r>
          </w:p>
          <w:p w14:paraId="13B1F28B" w14:textId="77777777" w:rsidR="00BB0A98" w:rsidRDefault="00BB0A98" w:rsidP="00BB0A98">
            <w:pPr>
              <w:jc w:val="center"/>
              <w:rPr>
                <w:rFonts w:cs="Arial"/>
              </w:rPr>
            </w:pPr>
          </w:p>
          <w:p w14:paraId="2CB268AF" w14:textId="77777777" w:rsidR="00BB0A98" w:rsidRDefault="00BB0A98" w:rsidP="00BB0A98">
            <w:pPr>
              <w:jc w:val="center"/>
              <w:rPr>
                <w:rFonts w:cs="Arial"/>
              </w:rPr>
            </w:pPr>
          </w:p>
          <w:p w14:paraId="270D9FE2" w14:textId="77777777" w:rsidR="00287861" w:rsidRDefault="00287861" w:rsidP="00287861">
            <w:pPr>
              <w:jc w:val="center"/>
              <w:rPr>
                <w:rFonts w:cs="Arial"/>
                <w:sz w:val="12"/>
                <w:szCs w:val="12"/>
              </w:rPr>
            </w:pPr>
            <w:r w:rsidRPr="00BC1C74">
              <w:rPr>
                <w:rFonts w:ascii="Wingdings" w:eastAsia="Wingdings" w:hAnsi="Wingdings" w:cs="Wingdings"/>
              </w:rPr>
              <w:t>ü</w:t>
            </w:r>
          </w:p>
          <w:p w14:paraId="5366BF2A" w14:textId="77777777" w:rsidR="00BB0A98" w:rsidRDefault="00BB0A98" w:rsidP="00BB0A98">
            <w:pPr>
              <w:jc w:val="center"/>
              <w:rPr>
                <w:rFonts w:cs="Arial"/>
              </w:rPr>
            </w:pPr>
          </w:p>
          <w:p w14:paraId="0A2A666A" w14:textId="2FC458D9" w:rsidR="00BB0A98" w:rsidRDefault="00BB0A98" w:rsidP="00BB0A98">
            <w:pPr>
              <w:rPr>
                <w:rFonts w:cs="Arial"/>
              </w:rPr>
            </w:pPr>
          </w:p>
          <w:p w14:paraId="2087F5CA" w14:textId="74C2CF7A" w:rsidR="00BB0A98" w:rsidRPr="00BC1C74" w:rsidRDefault="00BB0A98" w:rsidP="008144D2">
            <w:pPr>
              <w:rPr>
                <w:rFonts w:cs="Arial"/>
              </w:rPr>
            </w:pPr>
          </w:p>
        </w:tc>
      </w:tr>
      <w:tr w:rsidR="00735384" w:rsidRPr="00735384" w14:paraId="38F6258C" w14:textId="77777777" w:rsidTr="24078BD4">
        <w:tc>
          <w:tcPr>
            <w:tcW w:w="3566" w:type="pct"/>
            <w:tcBorders>
              <w:right w:val="nil"/>
            </w:tcBorders>
            <w:tcMar>
              <w:top w:w="108" w:type="dxa"/>
              <w:bottom w:w="108" w:type="dxa"/>
            </w:tcMar>
          </w:tcPr>
          <w:p w14:paraId="12D240B9" w14:textId="77777777" w:rsidR="000875CE" w:rsidRPr="00735384" w:rsidRDefault="000875CE" w:rsidP="00763327">
            <w:pPr>
              <w:rPr>
                <w:rFonts w:cs="Arial"/>
                <w:color w:val="E36C0A" w:themeColor="accent6" w:themeShade="BF"/>
                <w:szCs w:val="20"/>
              </w:rPr>
            </w:pPr>
            <w:r w:rsidRPr="00735384">
              <w:rPr>
                <w:rFonts w:cs="Arial"/>
                <w:b/>
                <w:color w:val="E36C0A" w:themeColor="accent6" w:themeShade="BF"/>
                <w:szCs w:val="20"/>
              </w:rPr>
              <w:t>Skills and attributes</w:t>
            </w:r>
          </w:p>
        </w:tc>
        <w:tc>
          <w:tcPr>
            <w:tcW w:w="717" w:type="pct"/>
            <w:tcBorders>
              <w:left w:val="nil"/>
              <w:right w:val="nil"/>
            </w:tcBorders>
            <w:tcMar>
              <w:top w:w="108" w:type="dxa"/>
              <w:bottom w:w="108" w:type="dxa"/>
            </w:tcMar>
          </w:tcPr>
          <w:p w14:paraId="2709B35A" w14:textId="77777777" w:rsidR="000875CE" w:rsidRPr="00735384" w:rsidRDefault="000875CE" w:rsidP="00763327">
            <w:pPr>
              <w:jc w:val="center"/>
              <w:rPr>
                <w:rFonts w:cs="Arial"/>
                <w:color w:val="E36C0A" w:themeColor="accent6" w:themeShade="BF"/>
              </w:rPr>
            </w:pPr>
          </w:p>
        </w:tc>
        <w:tc>
          <w:tcPr>
            <w:tcW w:w="717" w:type="pct"/>
            <w:tcBorders>
              <w:left w:val="nil"/>
            </w:tcBorders>
            <w:tcMar>
              <w:top w:w="108" w:type="dxa"/>
              <w:bottom w:w="108" w:type="dxa"/>
            </w:tcMar>
          </w:tcPr>
          <w:p w14:paraId="3A325BBD" w14:textId="77777777" w:rsidR="000875CE" w:rsidRPr="00735384" w:rsidRDefault="000875CE" w:rsidP="00763327">
            <w:pPr>
              <w:jc w:val="center"/>
              <w:rPr>
                <w:rFonts w:cs="Arial"/>
                <w:color w:val="E36C0A" w:themeColor="accent6" w:themeShade="BF"/>
              </w:rPr>
            </w:pPr>
          </w:p>
        </w:tc>
      </w:tr>
      <w:tr w:rsidR="000875CE" w:rsidRPr="00BC1C74" w14:paraId="233DF7A8" w14:textId="77777777" w:rsidTr="24078BD4">
        <w:tc>
          <w:tcPr>
            <w:tcW w:w="3566" w:type="pct"/>
            <w:tcMar>
              <w:top w:w="108" w:type="dxa"/>
              <w:bottom w:w="108" w:type="dxa"/>
            </w:tcMar>
          </w:tcPr>
          <w:p w14:paraId="13F2968C" w14:textId="77777777" w:rsidR="00BB0A98" w:rsidRDefault="00BB0A98" w:rsidP="00BB0A98">
            <w:pPr>
              <w:rPr>
                <w:rFonts w:cs="Arial"/>
                <w:sz w:val="12"/>
                <w:szCs w:val="12"/>
              </w:rPr>
            </w:pPr>
            <w:r>
              <w:t>Ability to work with diverse and large teams and to foster positive technical working relationships with counterparts and partners at different levels, across countries, organisations and teams</w:t>
            </w:r>
          </w:p>
          <w:p w14:paraId="5C8643B6" w14:textId="77777777" w:rsidR="00BB0A98" w:rsidRPr="00530285" w:rsidRDefault="00BB0A98" w:rsidP="00BB0A98">
            <w:pPr>
              <w:rPr>
                <w:rFonts w:cs="Arial"/>
                <w:sz w:val="12"/>
                <w:szCs w:val="12"/>
              </w:rPr>
            </w:pPr>
          </w:p>
          <w:p w14:paraId="25E08891" w14:textId="77777777" w:rsidR="00BB0A98" w:rsidRDefault="00BB0A98" w:rsidP="00BB0A98">
            <w:pPr>
              <w:rPr>
                <w:rFonts w:cs="Arial"/>
                <w:szCs w:val="20"/>
              </w:rPr>
            </w:pPr>
            <w:r>
              <w:t>Facilitation, networking and capacity building skills</w:t>
            </w:r>
          </w:p>
          <w:p w14:paraId="31E3E849" w14:textId="77777777" w:rsidR="00BB0A98" w:rsidRDefault="00BB0A98" w:rsidP="00BB0A98">
            <w:pPr>
              <w:rPr>
                <w:rFonts w:cs="Arial"/>
                <w:szCs w:val="20"/>
              </w:rPr>
            </w:pPr>
          </w:p>
          <w:p w14:paraId="0F53088C" w14:textId="7FC6EE22" w:rsidR="00BB0A98" w:rsidRDefault="00BB0A98" w:rsidP="00BB0A98">
            <w:r>
              <w:t xml:space="preserve">Effective </w:t>
            </w:r>
            <w:r w:rsidR="008144D2">
              <w:t xml:space="preserve">and strong verbal and written </w:t>
            </w:r>
            <w:r>
              <w:t>communication and presentation skills</w:t>
            </w:r>
          </w:p>
          <w:p w14:paraId="7F7B9608" w14:textId="77777777" w:rsidR="00BB0A98" w:rsidRDefault="00BB0A98" w:rsidP="00BB0A98">
            <w:pPr>
              <w:rPr>
                <w:rFonts w:cs="Arial"/>
                <w:szCs w:val="20"/>
              </w:rPr>
            </w:pPr>
          </w:p>
          <w:p w14:paraId="4337B36E" w14:textId="77777777" w:rsidR="00BB0A98" w:rsidRDefault="00BB0A98" w:rsidP="00BB0A98">
            <w:r>
              <w:t>Demonstrated planning and organising skills, and the ability to be adaptive</w:t>
            </w:r>
          </w:p>
          <w:p w14:paraId="4AEB6CFC" w14:textId="77777777" w:rsidR="00BB0A98" w:rsidRDefault="00BB0A98" w:rsidP="00BB0A98">
            <w:pPr>
              <w:rPr>
                <w:rFonts w:cs="Arial"/>
                <w:szCs w:val="20"/>
              </w:rPr>
            </w:pPr>
          </w:p>
          <w:p w14:paraId="4BE8B8F0" w14:textId="77777777" w:rsidR="009B5050" w:rsidRDefault="009B5050" w:rsidP="009B5050">
            <w:pPr>
              <w:spacing w:after="160" w:line="259" w:lineRule="auto"/>
            </w:pPr>
            <w:r w:rsidRPr="00F05B4D">
              <w:t>Ability to balance attention to detail with understanding the big picture.</w:t>
            </w:r>
          </w:p>
          <w:p w14:paraId="44C0DA36" w14:textId="77777777" w:rsidR="00BB0A98" w:rsidRDefault="00BB0A98" w:rsidP="00BB0A98">
            <w:r>
              <w:t>Ability to condense programme data and learning into key messages, user-friendly summaries, and communications products</w:t>
            </w:r>
          </w:p>
          <w:p w14:paraId="35801B37" w14:textId="77777777" w:rsidR="00BB0A98" w:rsidRDefault="00BB0A98" w:rsidP="00BB0A98">
            <w:pPr>
              <w:rPr>
                <w:rFonts w:cs="Arial"/>
                <w:szCs w:val="20"/>
              </w:rPr>
            </w:pPr>
          </w:p>
          <w:p w14:paraId="475FB23F" w14:textId="5D3BD792" w:rsidR="003111CE" w:rsidRPr="008144D2" w:rsidRDefault="00BB0A98" w:rsidP="008144D2">
            <w:pPr>
              <w:rPr>
                <w:rFonts w:cs="Arial"/>
                <w:szCs w:val="20"/>
              </w:rPr>
            </w:pPr>
            <w:r>
              <w:t>Cultural sensitivity</w:t>
            </w:r>
            <w:r w:rsidR="008144D2">
              <w:t xml:space="preserve"> and t</w:t>
            </w:r>
            <w:r w:rsidR="00287861">
              <w:rPr>
                <w:rFonts w:cs="Arial"/>
              </w:rPr>
              <w:t>ea</w:t>
            </w:r>
            <w:r w:rsidR="008144D2">
              <w:rPr>
                <w:rFonts w:cs="Arial"/>
              </w:rPr>
              <w:t>m</w:t>
            </w:r>
            <w:r w:rsidR="00287861">
              <w:rPr>
                <w:rFonts w:cs="Arial"/>
              </w:rPr>
              <w:t xml:space="preserve"> player</w:t>
            </w:r>
          </w:p>
        </w:tc>
        <w:tc>
          <w:tcPr>
            <w:tcW w:w="717" w:type="pct"/>
            <w:tcMar>
              <w:top w:w="108" w:type="dxa"/>
              <w:bottom w:w="108" w:type="dxa"/>
            </w:tcMar>
          </w:tcPr>
          <w:p w14:paraId="615B79E8" w14:textId="2D909686" w:rsidR="000875CE" w:rsidRPr="00530285" w:rsidRDefault="000875CE" w:rsidP="003111CE">
            <w:pPr>
              <w:rPr>
                <w:rFonts w:cs="Arial"/>
                <w:sz w:val="12"/>
                <w:szCs w:val="12"/>
              </w:rPr>
            </w:pPr>
          </w:p>
          <w:p w14:paraId="5BD7BC63" w14:textId="77777777" w:rsidR="00BB0A98" w:rsidRDefault="00BB0A98" w:rsidP="00BB0A98">
            <w:pPr>
              <w:jc w:val="center"/>
              <w:rPr>
                <w:rFonts w:cs="Arial"/>
                <w:sz w:val="12"/>
                <w:szCs w:val="12"/>
              </w:rPr>
            </w:pPr>
            <w:r w:rsidRPr="00BC1C74">
              <w:rPr>
                <w:rFonts w:ascii="Wingdings" w:eastAsia="Wingdings" w:hAnsi="Wingdings" w:cs="Wingdings"/>
              </w:rPr>
              <w:t>ü</w:t>
            </w:r>
          </w:p>
          <w:p w14:paraId="7E62FB93" w14:textId="77777777" w:rsidR="00BB0A98" w:rsidRDefault="00BB0A98" w:rsidP="00BB0A98">
            <w:pPr>
              <w:jc w:val="center"/>
              <w:rPr>
                <w:rFonts w:cs="Arial"/>
              </w:rPr>
            </w:pPr>
          </w:p>
          <w:p w14:paraId="365A3FE6" w14:textId="77777777" w:rsidR="00BB0A98" w:rsidRDefault="00BB0A98" w:rsidP="00BB0A98">
            <w:pPr>
              <w:jc w:val="center"/>
              <w:rPr>
                <w:rFonts w:cs="Arial"/>
              </w:rPr>
            </w:pPr>
          </w:p>
          <w:p w14:paraId="3F521A05" w14:textId="77777777" w:rsidR="00BB0A98" w:rsidRDefault="00BB0A98" w:rsidP="00BB0A98">
            <w:pPr>
              <w:jc w:val="center"/>
              <w:rPr>
                <w:rFonts w:cs="Arial"/>
                <w:sz w:val="12"/>
                <w:szCs w:val="12"/>
              </w:rPr>
            </w:pPr>
            <w:r w:rsidRPr="00BC1C74">
              <w:rPr>
                <w:rFonts w:ascii="Wingdings" w:eastAsia="Wingdings" w:hAnsi="Wingdings" w:cs="Wingdings"/>
              </w:rPr>
              <w:t>ü</w:t>
            </w:r>
          </w:p>
          <w:p w14:paraId="2D97A7AA" w14:textId="77777777" w:rsidR="00BB0A98" w:rsidRDefault="00BB0A98" w:rsidP="008965CE">
            <w:pPr>
              <w:rPr>
                <w:rFonts w:cs="Arial"/>
              </w:rPr>
            </w:pPr>
          </w:p>
          <w:p w14:paraId="2E07E233" w14:textId="77777777" w:rsidR="00BB0A98" w:rsidRDefault="00BB0A98" w:rsidP="00BB0A98">
            <w:pPr>
              <w:jc w:val="center"/>
              <w:rPr>
                <w:rFonts w:cs="Arial"/>
                <w:sz w:val="12"/>
                <w:szCs w:val="12"/>
              </w:rPr>
            </w:pPr>
            <w:r w:rsidRPr="00BC1C74">
              <w:rPr>
                <w:rFonts w:ascii="Wingdings" w:eastAsia="Wingdings" w:hAnsi="Wingdings" w:cs="Wingdings"/>
              </w:rPr>
              <w:t>ü</w:t>
            </w:r>
          </w:p>
          <w:p w14:paraId="7F7D9644" w14:textId="77777777" w:rsidR="00BB0A98" w:rsidRDefault="00BB0A98" w:rsidP="00BB0A98">
            <w:pPr>
              <w:jc w:val="center"/>
              <w:rPr>
                <w:rFonts w:cs="Arial"/>
              </w:rPr>
            </w:pPr>
          </w:p>
          <w:p w14:paraId="248653D3" w14:textId="77777777" w:rsidR="008144D2" w:rsidRDefault="008144D2" w:rsidP="00BB0A98">
            <w:pPr>
              <w:jc w:val="center"/>
              <w:rPr>
                <w:rFonts w:cs="Arial"/>
              </w:rPr>
            </w:pPr>
          </w:p>
          <w:p w14:paraId="0FFAA372" w14:textId="2BC44B37" w:rsidR="00BB0A98" w:rsidRDefault="00BB0A98" w:rsidP="00BB0A98">
            <w:pPr>
              <w:jc w:val="center"/>
              <w:rPr>
                <w:rFonts w:cs="Arial"/>
                <w:sz w:val="12"/>
                <w:szCs w:val="12"/>
              </w:rPr>
            </w:pPr>
            <w:r w:rsidRPr="00BC1C74">
              <w:rPr>
                <w:rFonts w:ascii="Wingdings" w:eastAsia="Wingdings" w:hAnsi="Wingdings" w:cs="Wingdings"/>
              </w:rPr>
              <w:t>ü</w:t>
            </w:r>
          </w:p>
          <w:p w14:paraId="1D5CFFE4" w14:textId="77777777" w:rsidR="00BB0A98" w:rsidRDefault="00BB0A98" w:rsidP="00BB0A98">
            <w:pPr>
              <w:jc w:val="center"/>
              <w:rPr>
                <w:rFonts w:cs="Arial"/>
              </w:rPr>
            </w:pPr>
          </w:p>
          <w:p w14:paraId="67A454F2" w14:textId="77777777" w:rsidR="009B5050" w:rsidRDefault="009B5050" w:rsidP="009B5050">
            <w:pPr>
              <w:jc w:val="center"/>
              <w:rPr>
                <w:rFonts w:cs="Arial"/>
              </w:rPr>
            </w:pPr>
            <w:r w:rsidRPr="00BC1C74">
              <w:rPr>
                <w:rFonts w:ascii="Wingdings" w:eastAsia="Wingdings" w:hAnsi="Wingdings" w:cs="Wingdings"/>
              </w:rPr>
              <w:t>ü</w:t>
            </w:r>
          </w:p>
          <w:p w14:paraId="29D45B0E" w14:textId="77777777" w:rsidR="00BB0A98" w:rsidRDefault="00BB0A98" w:rsidP="00BB0A98">
            <w:pPr>
              <w:jc w:val="center"/>
              <w:rPr>
                <w:rFonts w:cs="Arial"/>
              </w:rPr>
            </w:pPr>
          </w:p>
          <w:p w14:paraId="6F264345" w14:textId="77777777" w:rsidR="009B5050" w:rsidRDefault="009B5050" w:rsidP="009B5050">
            <w:pPr>
              <w:jc w:val="center"/>
              <w:rPr>
                <w:rFonts w:cs="Arial"/>
              </w:rPr>
            </w:pPr>
            <w:r w:rsidRPr="00BC1C74">
              <w:rPr>
                <w:rFonts w:ascii="Wingdings" w:eastAsia="Wingdings" w:hAnsi="Wingdings" w:cs="Wingdings"/>
              </w:rPr>
              <w:t>ü</w:t>
            </w:r>
          </w:p>
          <w:p w14:paraId="6637309C" w14:textId="29EF995E" w:rsidR="00287861" w:rsidRDefault="00287861" w:rsidP="00287861">
            <w:pPr>
              <w:rPr>
                <w:rFonts w:cs="Arial"/>
              </w:rPr>
            </w:pPr>
          </w:p>
          <w:p w14:paraId="67DB62D1" w14:textId="77777777" w:rsidR="009B5050" w:rsidRDefault="009B5050" w:rsidP="00287861">
            <w:pPr>
              <w:rPr>
                <w:rFonts w:cs="Arial"/>
              </w:rPr>
            </w:pPr>
          </w:p>
          <w:p w14:paraId="295331C5" w14:textId="5BC9DDAB" w:rsidR="003111CE" w:rsidRPr="00BC1C74" w:rsidRDefault="00BB0A98" w:rsidP="008144D2">
            <w:pPr>
              <w:jc w:val="center"/>
              <w:rPr>
                <w:rFonts w:cs="Arial"/>
              </w:rPr>
            </w:pPr>
            <w:r w:rsidRPr="00BC1C74">
              <w:rPr>
                <w:rFonts w:ascii="Wingdings" w:eastAsia="Wingdings" w:hAnsi="Wingdings" w:cs="Wingdings"/>
              </w:rPr>
              <w:t>ü</w:t>
            </w:r>
          </w:p>
        </w:tc>
        <w:tc>
          <w:tcPr>
            <w:tcW w:w="717" w:type="pct"/>
            <w:tcMar>
              <w:top w:w="108" w:type="dxa"/>
              <w:bottom w:w="108" w:type="dxa"/>
            </w:tcMar>
          </w:tcPr>
          <w:p w14:paraId="4944BF37" w14:textId="77777777" w:rsidR="008144D2" w:rsidRDefault="008144D2" w:rsidP="008144D2">
            <w:pPr>
              <w:jc w:val="center"/>
              <w:rPr>
                <w:rFonts w:cs="Arial"/>
              </w:rPr>
            </w:pPr>
          </w:p>
          <w:p w14:paraId="5F55F844" w14:textId="77777777" w:rsidR="008144D2" w:rsidRDefault="008144D2" w:rsidP="008144D2">
            <w:pPr>
              <w:jc w:val="center"/>
              <w:rPr>
                <w:rFonts w:cs="Arial"/>
              </w:rPr>
            </w:pPr>
          </w:p>
          <w:p w14:paraId="3A8DE968" w14:textId="77777777" w:rsidR="008144D2" w:rsidRDefault="008144D2" w:rsidP="008144D2">
            <w:pPr>
              <w:jc w:val="center"/>
              <w:rPr>
                <w:rFonts w:cs="Arial"/>
              </w:rPr>
            </w:pPr>
          </w:p>
          <w:p w14:paraId="42DCB263" w14:textId="77777777" w:rsidR="008144D2" w:rsidRDefault="008144D2" w:rsidP="008144D2">
            <w:pPr>
              <w:jc w:val="center"/>
              <w:rPr>
                <w:rFonts w:cs="Arial"/>
              </w:rPr>
            </w:pPr>
          </w:p>
          <w:p w14:paraId="4EEB6E3B" w14:textId="77777777" w:rsidR="008144D2" w:rsidRDefault="008144D2" w:rsidP="008144D2">
            <w:pPr>
              <w:jc w:val="center"/>
              <w:rPr>
                <w:rFonts w:cs="Arial"/>
              </w:rPr>
            </w:pPr>
          </w:p>
          <w:p w14:paraId="014E5120" w14:textId="77777777" w:rsidR="008144D2" w:rsidRDefault="008144D2" w:rsidP="008144D2">
            <w:pPr>
              <w:jc w:val="center"/>
              <w:rPr>
                <w:rFonts w:cs="Arial"/>
              </w:rPr>
            </w:pPr>
          </w:p>
          <w:p w14:paraId="51316BE0" w14:textId="77777777" w:rsidR="008144D2" w:rsidRDefault="008144D2" w:rsidP="008144D2">
            <w:pPr>
              <w:jc w:val="center"/>
              <w:rPr>
                <w:rFonts w:cs="Arial"/>
              </w:rPr>
            </w:pPr>
          </w:p>
          <w:p w14:paraId="7130EFA5" w14:textId="77777777" w:rsidR="008144D2" w:rsidRDefault="008144D2" w:rsidP="008144D2">
            <w:pPr>
              <w:jc w:val="center"/>
              <w:rPr>
                <w:rFonts w:cs="Arial"/>
              </w:rPr>
            </w:pPr>
          </w:p>
          <w:p w14:paraId="62CB8FFB" w14:textId="77777777" w:rsidR="008144D2" w:rsidRDefault="008144D2" w:rsidP="008144D2">
            <w:pPr>
              <w:jc w:val="center"/>
              <w:rPr>
                <w:rFonts w:cs="Arial"/>
              </w:rPr>
            </w:pPr>
          </w:p>
          <w:p w14:paraId="058A38D2" w14:textId="77777777" w:rsidR="008144D2" w:rsidRDefault="008144D2" w:rsidP="008144D2">
            <w:pPr>
              <w:jc w:val="center"/>
              <w:rPr>
                <w:rFonts w:cs="Arial"/>
              </w:rPr>
            </w:pPr>
          </w:p>
          <w:p w14:paraId="2048C86E" w14:textId="77777777" w:rsidR="000875CE" w:rsidRPr="00BC1C74" w:rsidRDefault="000875CE" w:rsidP="009B5050">
            <w:pPr>
              <w:jc w:val="center"/>
              <w:rPr>
                <w:rFonts w:cs="Arial"/>
              </w:rPr>
            </w:pPr>
          </w:p>
        </w:tc>
      </w:tr>
      <w:tr w:rsidR="00735384" w:rsidRPr="00735384" w14:paraId="0FA901CF" w14:textId="77777777" w:rsidTr="24078BD4">
        <w:tc>
          <w:tcPr>
            <w:tcW w:w="3566" w:type="pct"/>
            <w:tcBorders>
              <w:right w:val="nil"/>
            </w:tcBorders>
            <w:tcMar>
              <w:top w:w="108" w:type="dxa"/>
              <w:bottom w:w="108" w:type="dxa"/>
            </w:tcMar>
          </w:tcPr>
          <w:p w14:paraId="1B52BDC0" w14:textId="77777777" w:rsidR="000875CE" w:rsidRPr="00735384" w:rsidRDefault="000875CE" w:rsidP="00763327">
            <w:pPr>
              <w:rPr>
                <w:rFonts w:cs="Arial"/>
                <w:color w:val="E36C0A" w:themeColor="accent6" w:themeShade="BF"/>
                <w:szCs w:val="20"/>
              </w:rPr>
            </w:pPr>
            <w:r w:rsidRPr="00735384">
              <w:rPr>
                <w:rFonts w:cs="Arial"/>
                <w:b/>
                <w:color w:val="E36C0A" w:themeColor="accent6" w:themeShade="BF"/>
                <w:szCs w:val="20"/>
              </w:rPr>
              <w:t>Other requirements</w:t>
            </w:r>
          </w:p>
        </w:tc>
        <w:tc>
          <w:tcPr>
            <w:tcW w:w="717" w:type="pct"/>
            <w:tcBorders>
              <w:left w:val="nil"/>
              <w:right w:val="nil"/>
            </w:tcBorders>
            <w:tcMar>
              <w:top w:w="108" w:type="dxa"/>
              <w:bottom w:w="108" w:type="dxa"/>
            </w:tcMar>
          </w:tcPr>
          <w:p w14:paraId="504640CC" w14:textId="77777777" w:rsidR="000875CE" w:rsidRPr="00735384" w:rsidRDefault="000875CE" w:rsidP="00763327">
            <w:pPr>
              <w:jc w:val="center"/>
              <w:rPr>
                <w:rFonts w:cs="Arial"/>
                <w:color w:val="E36C0A" w:themeColor="accent6" w:themeShade="BF"/>
                <w:szCs w:val="20"/>
              </w:rPr>
            </w:pPr>
          </w:p>
        </w:tc>
        <w:tc>
          <w:tcPr>
            <w:tcW w:w="717" w:type="pct"/>
            <w:tcBorders>
              <w:left w:val="nil"/>
            </w:tcBorders>
            <w:tcMar>
              <w:top w:w="108" w:type="dxa"/>
              <w:bottom w:w="108" w:type="dxa"/>
            </w:tcMar>
          </w:tcPr>
          <w:p w14:paraId="3230A7FA" w14:textId="77777777" w:rsidR="000875CE" w:rsidRPr="00735384" w:rsidRDefault="000875CE" w:rsidP="00763327">
            <w:pPr>
              <w:jc w:val="center"/>
              <w:rPr>
                <w:rFonts w:cs="Arial"/>
                <w:color w:val="E36C0A" w:themeColor="accent6" w:themeShade="BF"/>
              </w:rPr>
            </w:pPr>
          </w:p>
        </w:tc>
      </w:tr>
      <w:tr w:rsidR="000875CE" w:rsidRPr="00BC1C74" w14:paraId="7E69CAC7" w14:textId="77777777" w:rsidTr="24078BD4">
        <w:tc>
          <w:tcPr>
            <w:tcW w:w="3566" w:type="pct"/>
            <w:tcMar>
              <w:top w:w="108" w:type="dxa"/>
              <w:bottom w:w="108" w:type="dxa"/>
            </w:tcMar>
          </w:tcPr>
          <w:p w14:paraId="61B70976" w14:textId="77777777" w:rsidR="000875CE" w:rsidRPr="001B08E3" w:rsidRDefault="000875CE" w:rsidP="00763327">
            <w:pPr>
              <w:contextualSpacing/>
              <w:rPr>
                <w:rFonts w:cs="Arial"/>
                <w:szCs w:val="20"/>
              </w:rPr>
            </w:pPr>
            <w:r w:rsidRPr="001B08E3">
              <w:rPr>
                <w:rFonts w:cs="Arial"/>
                <w:szCs w:val="20"/>
              </w:rPr>
              <w:t>Commitment to equal opportunities</w:t>
            </w:r>
          </w:p>
          <w:p w14:paraId="45F2D499" w14:textId="77777777" w:rsidR="000875CE" w:rsidRPr="00530285" w:rsidRDefault="000875CE" w:rsidP="00763327">
            <w:pPr>
              <w:contextualSpacing/>
              <w:rPr>
                <w:rFonts w:cs="Arial"/>
                <w:sz w:val="12"/>
                <w:szCs w:val="12"/>
              </w:rPr>
            </w:pPr>
          </w:p>
          <w:p w14:paraId="0FD2DE88" w14:textId="2293FB98" w:rsidR="003406F7" w:rsidRDefault="003406F7" w:rsidP="00763327">
            <w:pPr>
              <w:contextualSpacing/>
              <w:rPr>
                <w:rFonts w:cs="Arial"/>
              </w:rPr>
            </w:pPr>
            <w:r>
              <w:t xml:space="preserve">Strong commitment to human rights, </w:t>
            </w:r>
            <w:r>
              <w:rPr>
                <w:rFonts w:cs="Arial"/>
              </w:rPr>
              <w:t xml:space="preserve">equal </w:t>
            </w:r>
            <w:r w:rsidRPr="001A7753">
              <w:rPr>
                <w:rFonts w:cs="Arial"/>
              </w:rPr>
              <w:t xml:space="preserve">opportunities </w:t>
            </w:r>
          </w:p>
          <w:p w14:paraId="27AFBEEE" w14:textId="77777777" w:rsidR="00DE43DF" w:rsidRPr="00530285" w:rsidRDefault="00DE43DF" w:rsidP="00763327">
            <w:pPr>
              <w:contextualSpacing/>
              <w:rPr>
                <w:rFonts w:cs="Arial"/>
                <w:sz w:val="12"/>
                <w:szCs w:val="12"/>
              </w:rPr>
            </w:pPr>
          </w:p>
          <w:p w14:paraId="1C3C7ACB" w14:textId="77777777" w:rsidR="00DE43DF" w:rsidRDefault="00DE43DF" w:rsidP="00763327">
            <w:pPr>
              <w:contextualSpacing/>
              <w:rPr>
                <w:rFonts w:cs="Arial"/>
              </w:rPr>
            </w:pPr>
            <w:r>
              <w:rPr>
                <w:rFonts w:cs="Arial"/>
              </w:rPr>
              <w:t>Fluency in English (spoken, written, reading)</w:t>
            </w:r>
          </w:p>
          <w:p w14:paraId="573F786A" w14:textId="77777777" w:rsidR="008E4798" w:rsidRPr="00530285" w:rsidRDefault="008E4798" w:rsidP="00763327">
            <w:pPr>
              <w:contextualSpacing/>
              <w:rPr>
                <w:rFonts w:cs="Arial"/>
                <w:sz w:val="12"/>
                <w:szCs w:val="12"/>
              </w:rPr>
            </w:pPr>
          </w:p>
          <w:p w14:paraId="4F345A4F" w14:textId="2736284A" w:rsidR="006025EF" w:rsidRDefault="008E4798" w:rsidP="00763327">
            <w:pPr>
              <w:contextualSpacing/>
              <w:rPr>
                <w:rFonts w:cs="Arial"/>
              </w:rPr>
            </w:pPr>
            <w:r w:rsidRPr="00530285">
              <w:rPr>
                <w:rFonts w:cs="Arial"/>
              </w:rPr>
              <w:t xml:space="preserve">Fluency in </w:t>
            </w:r>
            <w:r w:rsidR="0056585C">
              <w:rPr>
                <w:rFonts w:ascii="Helvetica" w:hAnsi="Helvetica"/>
              </w:rPr>
              <w:t xml:space="preserve">national Ghanaian languages </w:t>
            </w:r>
            <w:r w:rsidRPr="00530285">
              <w:rPr>
                <w:rFonts w:cs="Arial"/>
              </w:rPr>
              <w:t>(spoken, written, reading)</w:t>
            </w:r>
          </w:p>
          <w:p w14:paraId="4031F104" w14:textId="77777777" w:rsidR="003111CE" w:rsidRPr="003111CE" w:rsidRDefault="003111CE" w:rsidP="00763327">
            <w:pPr>
              <w:contextualSpacing/>
              <w:rPr>
                <w:rFonts w:cs="Arial"/>
                <w:sz w:val="12"/>
                <w:szCs w:val="12"/>
              </w:rPr>
            </w:pPr>
          </w:p>
          <w:p w14:paraId="55780D2E" w14:textId="7AF1C64B" w:rsidR="0095738D" w:rsidRPr="00686BCF" w:rsidRDefault="0095738D" w:rsidP="00763327">
            <w:pPr>
              <w:contextualSpacing/>
              <w:rPr>
                <w:rFonts w:cs="Arial"/>
              </w:rPr>
            </w:pPr>
            <w:r>
              <w:rPr>
                <w:rFonts w:cs="Arial"/>
              </w:rPr>
              <w:t xml:space="preserve">Ability to travel within </w:t>
            </w:r>
            <w:r w:rsidR="0056585C">
              <w:rPr>
                <w:rFonts w:cs="Arial"/>
              </w:rPr>
              <w:t xml:space="preserve">Ghana </w:t>
            </w:r>
            <w:r>
              <w:rPr>
                <w:rFonts w:cs="Arial"/>
              </w:rPr>
              <w:t xml:space="preserve">as </w:t>
            </w:r>
            <w:r w:rsidR="006025EF">
              <w:rPr>
                <w:rFonts w:cs="Arial"/>
              </w:rPr>
              <w:t>required up</w:t>
            </w:r>
            <w:r>
              <w:rPr>
                <w:rFonts w:cs="Arial"/>
              </w:rPr>
              <w:t xml:space="preserve"> to </w:t>
            </w:r>
            <w:r w:rsidR="009B5050">
              <w:rPr>
                <w:rFonts w:cs="Arial"/>
              </w:rPr>
              <w:t>15</w:t>
            </w:r>
            <w:r w:rsidR="003111CE">
              <w:rPr>
                <w:rFonts w:cs="Arial"/>
              </w:rPr>
              <w:t>% of working time</w:t>
            </w:r>
          </w:p>
        </w:tc>
        <w:tc>
          <w:tcPr>
            <w:tcW w:w="717" w:type="pct"/>
            <w:tcMar>
              <w:top w:w="108" w:type="dxa"/>
              <w:bottom w:w="108" w:type="dxa"/>
            </w:tcMar>
          </w:tcPr>
          <w:p w14:paraId="799E70A7" w14:textId="77777777" w:rsidR="000875CE" w:rsidRPr="00BC1C74" w:rsidRDefault="000875CE" w:rsidP="00763327">
            <w:pPr>
              <w:jc w:val="center"/>
              <w:rPr>
                <w:rFonts w:cs="Arial"/>
                <w:szCs w:val="20"/>
              </w:rPr>
            </w:pPr>
            <w:r w:rsidRPr="00BC1C74">
              <w:rPr>
                <w:rFonts w:ascii="Wingdings" w:eastAsia="Wingdings" w:hAnsi="Wingdings" w:cs="Wingdings"/>
                <w:szCs w:val="20"/>
              </w:rPr>
              <w:lastRenderedPageBreak/>
              <w:t>ü</w:t>
            </w:r>
          </w:p>
          <w:p w14:paraId="4E54B9CB" w14:textId="77777777" w:rsidR="00B952A3" w:rsidRPr="00530285" w:rsidRDefault="00B952A3" w:rsidP="00352E10">
            <w:pPr>
              <w:rPr>
                <w:rFonts w:cs="Arial"/>
                <w:sz w:val="12"/>
                <w:szCs w:val="12"/>
              </w:rPr>
            </w:pPr>
          </w:p>
          <w:p w14:paraId="236875CB" w14:textId="77777777" w:rsidR="000875CE" w:rsidRDefault="000875CE" w:rsidP="00763327">
            <w:pPr>
              <w:jc w:val="center"/>
              <w:rPr>
                <w:rFonts w:cs="Arial"/>
                <w:szCs w:val="20"/>
              </w:rPr>
            </w:pPr>
            <w:r w:rsidRPr="00BC1C74">
              <w:rPr>
                <w:rFonts w:ascii="Wingdings" w:eastAsia="Wingdings" w:hAnsi="Wingdings" w:cs="Wingdings"/>
                <w:szCs w:val="20"/>
              </w:rPr>
              <w:t>ü</w:t>
            </w:r>
          </w:p>
          <w:p w14:paraId="797BA670" w14:textId="77777777" w:rsidR="0031451B" w:rsidRPr="00530285" w:rsidRDefault="0031451B" w:rsidP="009164A7">
            <w:pPr>
              <w:rPr>
                <w:rFonts w:cs="Arial"/>
                <w:sz w:val="12"/>
                <w:szCs w:val="12"/>
              </w:rPr>
            </w:pPr>
          </w:p>
          <w:p w14:paraId="17AD11A6" w14:textId="77777777" w:rsidR="00DE43DF" w:rsidRDefault="00DE43DF" w:rsidP="00763327">
            <w:pPr>
              <w:jc w:val="center"/>
              <w:rPr>
                <w:rFonts w:cs="Arial"/>
                <w:szCs w:val="20"/>
              </w:rPr>
            </w:pPr>
            <w:r w:rsidRPr="00BC1C74">
              <w:rPr>
                <w:rFonts w:ascii="Wingdings" w:eastAsia="Wingdings" w:hAnsi="Wingdings" w:cs="Wingdings"/>
                <w:szCs w:val="20"/>
              </w:rPr>
              <w:t>ü</w:t>
            </w:r>
          </w:p>
          <w:p w14:paraId="658AC3A0" w14:textId="1E46B66C" w:rsidR="008E4798" w:rsidRDefault="008E4798" w:rsidP="00763327">
            <w:pPr>
              <w:jc w:val="center"/>
              <w:rPr>
                <w:rFonts w:cs="Arial"/>
                <w:sz w:val="12"/>
                <w:szCs w:val="12"/>
              </w:rPr>
            </w:pPr>
          </w:p>
          <w:p w14:paraId="153A32FD" w14:textId="77777777" w:rsidR="008144D2" w:rsidRDefault="008144D2" w:rsidP="008144D2">
            <w:pPr>
              <w:jc w:val="center"/>
              <w:rPr>
                <w:rFonts w:cs="Arial"/>
                <w:szCs w:val="20"/>
              </w:rPr>
            </w:pPr>
            <w:r w:rsidRPr="00BC1C74">
              <w:rPr>
                <w:rFonts w:ascii="Wingdings" w:eastAsia="Wingdings" w:hAnsi="Wingdings" w:cs="Wingdings"/>
                <w:szCs w:val="20"/>
              </w:rPr>
              <w:t>ü</w:t>
            </w:r>
          </w:p>
          <w:p w14:paraId="19D103B6" w14:textId="77777777" w:rsidR="0056585C" w:rsidRPr="00530285" w:rsidRDefault="0056585C" w:rsidP="00763327">
            <w:pPr>
              <w:jc w:val="center"/>
              <w:rPr>
                <w:rFonts w:cs="Arial"/>
                <w:sz w:val="12"/>
                <w:szCs w:val="12"/>
              </w:rPr>
            </w:pPr>
          </w:p>
          <w:p w14:paraId="177FC56B" w14:textId="7D5CA241" w:rsidR="006025EF" w:rsidRPr="00BC1C74" w:rsidRDefault="006025EF" w:rsidP="008E4798">
            <w:pPr>
              <w:jc w:val="center"/>
              <w:rPr>
                <w:rFonts w:cs="Arial"/>
                <w:szCs w:val="20"/>
              </w:rPr>
            </w:pPr>
            <w:r w:rsidRPr="00BC1C74">
              <w:rPr>
                <w:rFonts w:ascii="Wingdings" w:eastAsia="Wingdings" w:hAnsi="Wingdings" w:cs="Wingdings"/>
                <w:szCs w:val="20"/>
              </w:rPr>
              <w:t>ü</w:t>
            </w:r>
          </w:p>
        </w:tc>
        <w:tc>
          <w:tcPr>
            <w:tcW w:w="717" w:type="pct"/>
            <w:tcMar>
              <w:top w:w="108" w:type="dxa"/>
              <w:bottom w:w="108" w:type="dxa"/>
            </w:tcMar>
          </w:tcPr>
          <w:p w14:paraId="1BC549C1" w14:textId="77777777" w:rsidR="000875CE" w:rsidRDefault="000875CE" w:rsidP="00763327">
            <w:pPr>
              <w:jc w:val="center"/>
              <w:rPr>
                <w:rFonts w:cs="Arial"/>
              </w:rPr>
            </w:pPr>
          </w:p>
          <w:p w14:paraId="7AAB2735" w14:textId="77777777" w:rsidR="00DE43DF" w:rsidRDefault="00DE43DF" w:rsidP="00763327">
            <w:pPr>
              <w:jc w:val="center"/>
              <w:rPr>
                <w:rFonts w:cs="Arial"/>
              </w:rPr>
            </w:pPr>
          </w:p>
          <w:p w14:paraId="130C2201" w14:textId="77777777" w:rsidR="00DE43DF" w:rsidRDefault="00DE43DF" w:rsidP="00763327">
            <w:pPr>
              <w:jc w:val="center"/>
              <w:rPr>
                <w:rFonts w:cs="Arial"/>
              </w:rPr>
            </w:pPr>
          </w:p>
          <w:p w14:paraId="7A25AE1C" w14:textId="7E237474" w:rsidR="00DE43DF" w:rsidRDefault="0056585C" w:rsidP="00686BCF">
            <w:pPr>
              <w:rPr>
                <w:rFonts w:cs="Arial"/>
              </w:rPr>
            </w:pPr>
            <w:r>
              <w:rPr>
                <w:rFonts w:cs="Arial"/>
              </w:rPr>
              <w:br/>
            </w:r>
          </w:p>
          <w:p w14:paraId="2001C185" w14:textId="518F1BAD" w:rsidR="0056585C" w:rsidRPr="00BC1C74" w:rsidRDefault="0056585C" w:rsidP="008144D2">
            <w:pPr>
              <w:jc w:val="center"/>
              <w:rPr>
                <w:rFonts w:cs="Arial"/>
              </w:rPr>
            </w:pPr>
          </w:p>
        </w:tc>
      </w:tr>
    </w:tbl>
    <w:p w14:paraId="5C5929E6" w14:textId="77777777" w:rsidR="009B5050" w:rsidRDefault="009B5050" w:rsidP="00A0358B">
      <w:pPr>
        <w:pStyle w:val="Heading1"/>
        <w:rPr>
          <w:rFonts w:cs="Arial"/>
          <w:color w:val="E36C0A" w:themeColor="accent6" w:themeShade="BF"/>
        </w:rPr>
      </w:pPr>
    </w:p>
    <w:p w14:paraId="2D433A58" w14:textId="637360E5" w:rsidR="00A0358B" w:rsidRPr="00A0358B" w:rsidRDefault="00A0358B" w:rsidP="00A0358B">
      <w:pPr>
        <w:pStyle w:val="Heading1"/>
        <w:rPr>
          <w:rFonts w:cs="Arial"/>
          <w:color w:val="E36C0A" w:themeColor="accent6" w:themeShade="BF"/>
        </w:rPr>
      </w:pPr>
      <w:r w:rsidRPr="00A0358B">
        <w:rPr>
          <w:rFonts w:cs="Arial"/>
          <w:color w:val="E36C0A" w:themeColor="accent6" w:themeShade="BF"/>
        </w:rPr>
        <w:t>Application Instructions</w:t>
      </w:r>
    </w:p>
    <w:p w14:paraId="4AFE4950" w14:textId="79747181" w:rsidR="008823BD" w:rsidRDefault="00A0358B" w:rsidP="008823BD">
      <w:r>
        <w:t xml:space="preserve">Interested applicants should submit the following </w:t>
      </w:r>
      <w:r w:rsidR="008823BD">
        <w:t xml:space="preserve">via </w:t>
      </w:r>
      <w:hyperlink r:id="rId13" w:history="1">
        <w:r w:rsidR="008823BD">
          <w:rPr>
            <w:rStyle w:val="Hyperlink"/>
          </w:rPr>
          <w:t>https://www.trophealth.com/work-with-us/</w:t>
        </w:r>
      </w:hyperlink>
      <w:r w:rsidR="008823BD">
        <w:t xml:space="preserve"> </w:t>
      </w:r>
      <w:r>
        <w:t xml:space="preserve">by </w:t>
      </w:r>
      <w:r w:rsidR="007D3FE3" w:rsidRPr="002A32E4">
        <w:rPr>
          <w:b/>
          <w:bCs/>
        </w:rPr>
        <w:t>Wednesday 10</w:t>
      </w:r>
      <w:r w:rsidR="007D3FE3" w:rsidRPr="002A32E4">
        <w:rPr>
          <w:b/>
          <w:bCs/>
          <w:vertAlign w:val="superscript"/>
        </w:rPr>
        <w:t>th</w:t>
      </w:r>
      <w:r w:rsidR="007D3FE3" w:rsidRPr="002A32E4">
        <w:rPr>
          <w:b/>
          <w:bCs/>
        </w:rPr>
        <w:t xml:space="preserve"> March</w:t>
      </w:r>
      <w:r w:rsidR="007C1C7F" w:rsidRPr="002A32E4">
        <w:rPr>
          <w:b/>
          <w:bCs/>
        </w:rPr>
        <w:t xml:space="preserve"> </w:t>
      </w:r>
      <w:r w:rsidR="00C73D7C" w:rsidRPr="002A32E4">
        <w:rPr>
          <w:b/>
          <w:bCs/>
        </w:rPr>
        <w:t>202</w:t>
      </w:r>
      <w:r w:rsidR="006A29CE" w:rsidRPr="002A32E4">
        <w:rPr>
          <w:b/>
          <w:bCs/>
        </w:rPr>
        <w:t>1</w:t>
      </w:r>
      <w:r w:rsidR="00C73D7C">
        <w:t xml:space="preserve"> </w:t>
      </w:r>
      <w:r w:rsidR="007C1C7F">
        <w:t>at 17.00hrs</w:t>
      </w:r>
      <w:r>
        <w:t xml:space="preserve"> Ghana time</w:t>
      </w:r>
      <w:r w:rsidR="008823BD">
        <w:t>:</w:t>
      </w:r>
    </w:p>
    <w:p w14:paraId="405E3F38" w14:textId="303EE1D4" w:rsidR="00A0358B" w:rsidRDefault="008823BD" w:rsidP="008823BD">
      <w:r>
        <w:t xml:space="preserve">1. </w:t>
      </w:r>
      <w:r w:rsidR="00A0358B">
        <w:t>Updated curriculum vitae (CV) (pdf or Microsoft Word) written in English</w:t>
      </w:r>
    </w:p>
    <w:p w14:paraId="7AAC22D4" w14:textId="14270275" w:rsidR="00A0358B" w:rsidRDefault="008823BD" w:rsidP="008823BD">
      <w:pPr>
        <w:spacing w:line="240" w:lineRule="auto"/>
      </w:pPr>
      <w:r>
        <w:t xml:space="preserve">2. </w:t>
      </w:r>
      <w:r w:rsidR="00A0358B">
        <w:t xml:space="preserve">A cover letter, maximum one page, written in English, describing </w:t>
      </w:r>
    </w:p>
    <w:p w14:paraId="38C116E7" w14:textId="77777777" w:rsidR="00A0358B" w:rsidRDefault="00A0358B" w:rsidP="00A0358B">
      <w:pPr>
        <w:pStyle w:val="ListParagraph"/>
        <w:numPr>
          <w:ilvl w:val="1"/>
          <w:numId w:val="14"/>
        </w:numPr>
        <w:spacing w:line="240" w:lineRule="auto"/>
      </w:pPr>
      <w:r>
        <w:t>relevant experience and your interest in the position</w:t>
      </w:r>
      <w:r w:rsidRPr="00C569B8">
        <w:t xml:space="preserve"> </w:t>
      </w:r>
    </w:p>
    <w:p w14:paraId="6298675E" w14:textId="77777777" w:rsidR="00A0358B" w:rsidRDefault="00A0358B" w:rsidP="00A0358B">
      <w:pPr>
        <w:pStyle w:val="ListParagraph"/>
        <w:numPr>
          <w:ilvl w:val="1"/>
          <w:numId w:val="14"/>
        </w:numPr>
        <w:spacing w:line="240" w:lineRule="auto"/>
      </w:pPr>
      <w:r>
        <w:t xml:space="preserve">contact information for </w:t>
      </w:r>
      <w:r w:rsidRPr="00C569B8">
        <w:t xml:space="preserve">three relevant references </w:t>
      </w:r>
    </w:p>
    <w:p w14:paraId="0BC27DFC" w14:textId="77777777" w:rsidR="00A0358B" w:rsidRDefault="00A0358B" w:rsidP="00A0358B">
      <w:pPr>
        <w:pStyle w:val="ListParagraph"/>
        <w:numPr>
          <w:ilvl w:val="1"/>
          <w:numId w:val="14"/>
        </w:numPr>
        <w:spacing w:line="240" w:lineRule="auto"/>
      </w:pPr>
      <w:r w:rsidRPr="00C569B8">
        <w:t>your salary expectations</w:t>
      </w:r>
    </w:p>
    <w:p w14:paraId="3F67D130" w14:textId="77777777" w:rsidR="00A0358B" w:rsidRPr="00C569B8" w:rsidRDefault="00A0358B" w:rsidP="00A0358B">
      <w:pPr>
        <w:pStyle w:val="ListParagraph"/>
        <w:numPr>
          <w:ilvl w:val="1"/>
          <w:numId w:val="14"/>
        </w:numPr>
        <w:spacing w:line="240" w:lineRule="auto"/>
      </w:pPr>
      <w:r w:rsidRPr="00C569B8">
        <w:t>your earliest availability</w:t>
      </w:r>
    </w:p>
    <w:p w14:paraId="0CD0F176" w14:textId="168B3464" w:rsidR="00A0358B" w:rsidRDefault="008823BD" w:rsidP="008823BD">
      <w:pPr>
        <w:spacing w:after="160" w:line="259" w:lineRule="auto"/>
        <w:jc w:val="both"/>
      </w:pPr>
      <w:r>
        <w:t xml:space="preserve">3. </w:t>
      </w:r>
      <w:r w:rsidR="00A0358B">
        <w:t>Please do NOT send photos, certificates, or other attachments</w:t>
      </w:r>
    </w:p>
    <w:p w14:paraId="777F8553" w14:textId="302957D2" w:rsidR="00A0358B" w:rsidRPr="002A32E4" w:rsidRDefault="00A0358B" w:rsidP="00A0358B">
      <w:pPr>
        <w:shd w:val="clear" w:color="auto" w:fill="FFFFFF"/>
        <w:rPr>
          <w:b/>
          <w:bCs/>
        </w:rPr>
      </w:pPr>
      <w:r w:rsidRPr="001F1789">
        <w:t xml:space="preserve">Only candidates selected for the interview stage will be contacted. </w:t>
      </w:r>
      <w:r w:rsidR="007D3FE3">
        <w:t>Interv</w:t>
      </w:r>
      <w:r w:rsidR="002A32E4">
        <w:t>ie</w:t>
      </w:r>
      <w:r w:rsidR="007D3FE3">
        <w:t xml:space="preserve">ws will be held </w:t>
      </w:r>
      <w:r w:rsidR="007D3FE3" w:rsidRPr="002A32E4">
        <w:rPr>
          <w:b/>
          <w:bCs/>
        </w:rPr>
        <w:t xml:space="preserve">week beginning </w:t>
      </w:r>
      <w:r w:rsidR="002A32E4" w:rsidRPr="002A32E4">
        <w:rPr>
          <w:b/>
          <w:bCs/>
        </w:rPr>
        <w:t>15</w:t>
      </w:r>
      <w:r w:rsidR="002A32E4" w:rsidRPr="002A32E4">
        <w:rPr>
          <w:b/>
          <w:bCs/>
          <w:vertAlign w:val="superscript"/>
        </w:rPr>
        <w:t>th</w:t>
      </w:r>
      <w:r w:rsidR="002A32E4" w:rsidRPr="002A32E4">
        <w:rPr>
          <w:b/>
          <w:bCs/>
        </w:rPr>
        <w:t xml:space="preserve"> March 2021.</w:t>
      </w:r>
      <w:r w:rsidR="005577D2">
        <w:rPr>
          <w:b/>
          <w:bCs/>
        </w:rPr>
        <w:t xml:space="preserve"> </w:t>
      </w:r>
    </w:p>
    <w:p w14:paraId="6D2BD319" w14:textId="77777777" w:rsidR="00A0358B" w:rsidRDefault="00A0358B" w:rsidP="00A0358B">
      <w:pPr>
        <w:shd w:val="clear" w:color="auto" w:fill="FFFFFF"/>
      </w:pPr>
    </w:p>
    <w:p w14:paraId="46CBF93C" w14:textId="722AC09A" w:rsidR="00A0358B" w:rsidRPr="001F1789" w:rsidRDefault="00A0358B" w:rsidP="00A0358B">
      <w:pPr>
        <w:shd w:val="clear" w:color="auto" w:fill="FFFFFF"/>
      </w:pPr>
      <w:r w:rsidRPr="001F1789">
        <w:t xml:space="preserve">We thank all applicants in advance for their interest in working with us. </w:t>
      </w:r>
    </w:p>
    <w:p w14:paraId="1A254392" w14:textId="77777777" w:rsidR="00A0358B" w:rsidRDefault="00A0358B" w:rsidP="00A0358B">
      <w:pPr>
        <w:shd w:val="clear" w:color="auto" w:fill="FFFFFF"/>
      </w:pPr>
    </w:p>
    <w:p w14:paraId="25164661" w14:textId="77777777" w:rsidR="00A0358B" w:rsidRPr="00BC1C74" w:rsidRDefault="00A0358B" w:rsidP="003111CE">
      <w:pPr>
        <w:rPr>
          <w:rFonts w:cs="Arial"/>
        </w:rPr>
      </w:pPr>
    </w:p>
    <w:sectPr w:rsidR="00A0358B" w:rsidRPr="00BC1C74" w:rsidSect="006025EF">
      <w:pgSz w:w="11906" w:h="16838"/>
      <w:pgMar w:top="851"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3A17" w14:textId="77777777" w:rsidR="00032FE5" w:rsidRDefault="00032FE5" w:rsidP="00474CE0">
      <w:pPr>
        <w:spacing w:line="240" w:lineRule="auto"/>
      </w:pPr>
      <w:r>
        <w:separator/>
      </w:r>
    </w:p>
  </w:endnote>
  <w:endnote w:type="continuationSeparator" w:id="0">
    <w:p w14:paraId="0E2A5F05" w14:textId="77777777" w:rsidR="00032FE5" w:rsidRDefault="00032FE5" w:rsidP="00474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MinchoB">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900495"/>
      <w:docPartObj>
        <w:docPartGallery w:val="Page Numbers (Bottom of Page)"/>
        <w:docPartUnique/>
      </w:docPartObj>
    </w:sdtPr>
    <w:sdtEndPr>
      <w:rPr>
        <w:noProof/>
      </w:rPr>
    </w:sdtEndPr>
    <w:sdtContent>
      <w:p w14:paraId="757CFC3C" w14:textId="442C01BA" w:rsidR="00BE09CA" w:rsidRPr="00487535" w:rsidRDefault="00487535" w:rsidP="00487535">
        <w:pPr>
          <w:pStyle w:val="Footer"/>
          <w:jc w:val="center"/>
        </w:pPr>
        <w:r>
          <w:fldChar w:fldCharType="begin"/>
        </w:r>
        <w:r>
          <w:instrText xml:space="preserve"> PAGE   \* MERGEFORMAT </w:instrText>
        </w:r>
        <w:r>
          <w:fldChar w:fldCharType="separate"/>
        </w:r>
        <w:r w:rsidR="00BB0A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6F39" w14:textId="77777777" w:rsidR="00032FE5" w:rsidRDefault="00032FE5" w:rsidP="00474CE0">
      <w:pPr>
        <w:spacing w:line="240" w:lineRule="auto"/>
      </w:pPr>
      <w:r>
        <w:separator/>
      </w:r>
    </w:p>
  </w:footnote>
  <w:footnote w:type="continuationSeparator" w:id="0">
    <w:p w14:paraId="2E12FDCB" w14:textId="77777777" w:rsidR="00032FE5" w:rsidRDefault="00032FE5" w:rsidP="00474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5C2"/>
    <w:multiLevelType w:val="hybridMultilevel"/>
    <w:tmpl w:val="D77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7CF5"/>
    <w:multiLevelType w:val="hybridMultilevel"/>
    <w:tmpl w:val="3D5681E6"/>
    <w:lvl w:ilvl="0" w:tplc="C3CCF404">
      <w:numFmt w:val="bullet"/>
      <w:lvlText w:val=""/>
      <w:lvlJc w:val="left"/>
      <w:pPr>
        <w:ind w:left="827" w:hanging="360"/>
      </w:pPr>
      <w:rPr>
        <w:rFonts w:ascii="Symbol" w:eastAsia="Symbol" w:hAnsi="Symbol" w:cs="Symbol" w:hint="default"/>
        <w:color w:val="00635C"/>
        <w:w w:val="99"/>
        <w:sz w:val="20"/>
        <w:szCs w:val="20"/>
        <w:lang w:val="en-US" w:eastAsia="en-US" w:bidi="ar-SA"/>
      </w:rPr>
    </w:lvl>
    <w:lvl w:ilvl="1" w:tplc="CBCCF656">
      <w:numFmt w:val="bullet"/>
      <w:lvlText w:val="•"/>
      <w:lvlJc w:val="left"/>
      <w:pPr>
        <w:ind w:left="1710" w:hanging="360"/>
      </w:pPr>
      <w:rPr>
        <w:rFonts w:hint="default"/>
        <w:lang w:val="en-US" w:eastAsia="en-US" w:bidi="ar-SA"/>
      </w:rPr>
    </w:lvl>
    <w:lvl w:ilvl="2" w:tplc="CD6067E8">
      <w:numFmt w:val="bullet"/>
      <w:lvlText w:val="•"/>
      <w:lvlJc w:val="left"/>
      <w:pPr>
        <w:ind w:left="2601" w:hanging="360"/>
      </w:pPr>
      <w:rPr>
        <w:rFonts w:hint="default"/>
        <w:lang w:val="en-US" w:eastAsia="en-US" w:bidi="ar-SA"/>
      </w:rPr>
    </w:lvl>
    <w:lvl w:ilvl="3" w:tplc="96DCE7A6">
      <w:numFmt w:val="bullet"/>
      <w:lvlText w:val="•"/>
      <w:lvlJc w:val="left"/>
      <w:pPr>
        <w:ind w:left="3492" w:hanging="360"/>
      </w:pPr>
      <w:rPr>
        <w:rFonts w:hint="default"/>
        <w:lang w:val="en-US" w:eastAsia="en-US" w:bidi="ar-SA"/>
      </w:rPr>
    </w:lvl>
    <w:lvl w:ilvl="4" w:tplc="8160D118">
      <w:numFmt w:val="bullet"/>
      <w:lvlText w:val="•"/>
      <w:lvlJc w:val="left"/>
      <w:pPr>
        <w:ind w:left="4382" w:hanging="360"/>
      </w:pPr>
      <w:rPr>
        <w:rFonts w:hint="default"/>
        <w:lang w:val="en-US" w:eastAsia="en-US" w:bidi="ar-SA"/>
      </w:rPr>
    </w:lvl>
    <w:lvl w:ilvl="5" w:tplc="393C0FE2">
      <w:numFmt w:val="bullet"/>
      <w:lvlText w:val="•"/>
      <w:lvlJc w:val="left"/>
      <w:pPr>
        <w:ind w:left="5273" w:hanging="360"/>
      </w:pPr>
      <w:rPr>
        <w:rFonts w:hint="default"/>
        <w:lang w:val="en-US" w:eastAsia="en-US" w:bidi="ar-SA"/>
      </w:rPr>
    </w:lvl>
    <w:lvl w:ilvl="6" w:tplc="D0B2BEF0">
      <w:numFmt w:val="bullet"/>
      <w:lvlText w:val="•"/>
      <w:lvlJc w:val="left"/>
      <w:pPr>
        <w:ind w:left="6164" w:hanging="360"/>
      </w:pPr>
      <w:rPr>
        <w:rFonts w:hint="default"/>
        <w:lang w:val="en-US" w:eastAsia="en-US" w:bidi="ar-SA"/>
      </w:rPr>
    </w:lvl>
    <w:lvl w:ilvl="7" w:tplc="73726FBE">
      <w:numFmt w:val="bullet"/>
      <w:lvlText w:val="•"/>
      <w:lvlJc w:val="left"/>
      <w:pPr>
        <w:ind w:left="7054" w:hanging="360"/>
      </w:pPr>
      <w:rPr>
        <w:rFonts w:hint="default"/>
        <w:lang w:val="en-US" w:eastAsia="en-US" w:bidi="ar-SA"/>
      </w:rPr>
    </w:lvl>
    <w:lvl w:ilvl="8" w:tplc="3CF88B16">
      <w:numFmt w:val="bullet"/>
      <w:lvlText w:val="•"/>
      <w:lvlJc w:val="left"/>
      <w:pPr>
        <w:ind w:left="7945" w:hanging="360"/>
      </w:pPr>
      <w:rPr>
        <w:rFonts w:hint="default"/>
        <w:lang w:val="en-US" w:eastAsia="en-US" w:bidi="ar-SA"/>
      </w:rPr>
    </w:lvl>
  </w:abstractNum>
  <w:abstractNum w:abstractNumId="2" w15:restartNumberingAfterBreak="0">
    <w:nsid w:val="15E06866"/>
    <w:multiLevelType w:val="hybridMultilevel"/>
    <w:tmpl w:val="D1D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E6C54"/>
    <w:multiLevelType w:val="hybridMultilevel"/>
    <w:tmpl w:val="2208F994"/>
    <w:lvl w:ilvl="0" w:tplc="08090001">
      <w:start w:val="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8B41D0"/>
    <w:multiLevelType w:val="hybridMultilevel"/>
    <w:tmpl w:val="D668F4FE"/>
    <w:lvl w:ilvl="0" w:tplc="3A2883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D1FD9"/>
    <w:multiLevelType w:val="hybridMultilevel"/>
    <w:tmpl w:val="14A2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D6553"/>
    <w:multiLevelType w:val="hybridMultilevel"/>
    <w:tmpl w:val="016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E2001"/>
    <w:multiLevelType w:val="hybridMultilevel"/>
    <w:tmpl w:val="E9B09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40D21"/>
    <w:multiLevelType w:val="hybridMultilevel"/>
    <w:tmpl w:val="976C8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395751"/>
    <w:multiLevelType w:val="hybridMultilevel"/>
    <w:tmpl w:val="EDD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46E2"/>
    <w:multiLevelType w:val="hybridMultilevel"/>
    <w:tmpl w:val="0F00D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EE3B9A"/>
    <w:multiLevelType w:val="hybridMultilevel"/>
    <w:tmpl w:val="95DA3FC2"/>
    <w:lvl w:ilvl="0" w:tplc="43B6E972">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96255"/>
    <w:multiLevelType w:val="hybridMultilevel"/>
    <w:tmpl w:val="6F2A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5B1EE5"/>
    <w:multiLevelType w:val="hybridMultilevel"/>
    <w:tmpl w:val="E56C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13B2B"/>
    <w:multiLevelType w:val="hybridMultilevel"/>
    <w:tmpl w:val="4DB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22FE4"/>
    <w:multiLevelType w:val="hybridMultilevel"/>
    <w:tmpl w:val="EE4A1AA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9FD0294"/>
    <w:multiLevelType w:val="hybridMultilevel"/>
    <w:tmpl w:val="38E66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B37243"/>
    <w:multiLevelType w:val="hybridMultilevel"/>
    <w:tmpl w:val="14EA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64746A"/>
    <w:multiLevelType w:val="hybridMultilevel"/>
    <w:tmpl w:val="C4C6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F86070"/>
    <w:multiLevelType w:val="hybridMultilevel"/>
    <w:tmpl w:val="DD7C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E6CC8"/>
    <w:multiLevelType w:val="hybridMultilevel"/>
    <w:tmpl w:val="D3D62E8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F05943"/>
    <w:multiLevelType w:val="hybridMultilevel"/>
    <w:tmpl w:val="753AD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4662BF"/>
    <w:multiLevelType w:val="hybridMultilevel"/>
    <w:tmpl w:val="6610D6B4"/>
    <w:lvl w:ilvl="0" w:tplc="46AE0B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2"/>
  </w:num>
  <w:num w:numId="4">
    <w:abstractNumId w:val="9"/>
  </w:num>
  <w:num w:numId="5">
    <w:abstractNumId w:val="5"/>
  </w:num>
  <w:num w:numId="6">
    <w:abstractNumId w:val="13"/>
  </w:num>
  <w:num w:numId="7">
    <w:abstractNumId w:val="8"/>
  </w:num>
  <w:num w:numId="8">
    <w:abstractNumId w:val="1"/>
  </w:num>
  <w:num w:numId="9">
    <w:abstractNumId w:val="6"/>
  </w:num>
  <w:num w:numId="10">
    <w:abstractNumId w:val="15"/>
  </w:num>
  <w:num w:numId="11">
    <w:abstractNumId w:val="2"/>
  </w:num>
  <w:num w:numId="12">
    <w:abstractNumId w:val="21"/>
  </w:num>
  <w:num w:numId="13">
    <w:abstractNumId w:val="19"/>
  </w:num>
  <w:num w:numId="14">
    <w:abstractNumId w:val="7"/>
  </w:num>
  <w:num w:numId="15">
    <w:abstractNumId w:val="0"/>
  </w:num>
  <w:num w:numId="16">
    <w:abstractNumId w:val="11"/>
  </w:num>
  <w:num w:numId="17">
    <w:abstractNumId w:val="17"/>
  </w:num>
  <w:num w:numId="18">
    <w:abstractNumId w:val="12"/>
  </w:num>
  <w:num w:numId="19">
    <w:abstractNumId w:val="18"/>
  </w:num>
  <w:num w:numId="20">
    <w:abstractNumId w:val="3"/>
  </w:num>
  <w:num w:numId="21">
    <w:abstractNumId w:val="16"/>
  </w:num>
  <w:num w:numId="22">
    <w:abstractNumId w:val="20"/>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99"/>
    <w:rsid w:val="00000D61"/>
    <w:rsid w:val="000063DD"/>
    <w:rsid w:val="00010F07"/>
    <w:rsid w:val="0001656E"/>
    <w:rsid w:val="00017F83"/>
    <w:rsid w:val="0002045E"/>
    <w:rsid w:val="0002255E"/>
    <w:rsid w:val="000243FF"/>
    <w:rsid w:val="00032FE5"/>
    <w:rsid w:val="00040F2A"/>
    <w:rsid w:val="000428CF"/>
    <w:rsid w:val="00043BE2"/>
    <w:rsid w:val="0004692E"/>
    <w:rsid w:val="000527F1"/>
    <w:rsid w:val="00052D16"/>
    <w:rsid w:val="000570F1"/>
    <w:rsid w:val="00060AFD"/>
    <w:rsid w:val="00077002"/>
    <w:rsid w:val="000770B3"/>
    <w:rsid w:val="00081568"/>
    <w:rsid w:val="00083417"/>
    <w:rsid w:val="00085F6E"/>
    <w:rsid w:val="000875CE"/>
    <w:rsid w:val="000A7220"/>
    <w:rsid w:val="000B3C60"/>
    <w:rsid w:val="000E48DD"/>
    <w:rsid w:val="000F0A6C"/>
    <w:rsid w:val="000F252F"/>
    <w:rsid w:val="001025A9"/>
    <w:rsid w:val="0010585B"/>
    <w:rsid w:val="001118D0"/>
    <w:rsid w:val="00122A66"/>
    <w:rsid w:val="00136FFA"/>
    <w:rsid w:val="00141AB9"/>
    <w:rsid w:val="00144882"/>
    <w:rsid w:val="001575B8"/>
    <w:rsid w:val="0017024A"/>
    <w:rsid w:val="001760ED"/>
    <w:rsid w:val="00180E0B"/>
    <w:rsid w:val="0018195F"/>
    <w:rsid w:val="001870AC"/>
    <w:rsid w:val="00193954"/>
    <w:rsid w:val="00196718"/>
    <w:rsid w:val="001A3587"/>
    <w:rsid w:val="001A7753"/>
    <w:rsid w:val="001A79AA"/>
    <w:rsid w:val="001B08E3"/>
    <w:rsid w:val="001B7F94"/>
    <w:rsid w:val="001C1B62"/>
    <w:rsid w:val="001C4252"/>
    <w:rsid w:val="001C4652"/>
    <w:rsid w:val="001E32D3"/>
    <w:rsid w:val="001F643D"/>
    <w:rsid w:val="001F7E4E"/>
    <w:rsid w:val="002009DE"/>
    <w:rsid w:val="00205BBD"/>
    <w:rsid w:val="002140CE"/>
    <w:rsid w:val="00215D6B"/>
    <w:rsid w:val="002211EF"/>
    <w:rsid w:val="002344CA"/>
    <w:rsid w:val="00244222"/>
    <w:rsid w:val="00264B8F"/>
    <w:rsid w:val="00266327"/>
    <w:rsid w:val="00266A82"/>
    <w:rsid w:val="00275F37"/>
    <w:rsid w:val="00286515"/>
    <w:rsid w:val="00287861"/>
    <w:rsid w:val="00290E10"/>
    <w:rsid w:val="00291A0E"/>
    <w:rsid w:val="00293195"/>
    <w:rsid w:val="00295CBB"/>
    <w:rsid w:val="002A28B5"/>
    <w:rsid w:val="002A32E4"/>
    <w:rsid w:val="002A6BE8"/>
    <w:rsid w:val="002B032E"/>
    <w:rsid w:val="002B1D0F"/>
    <w:rsid w:val="002C1E5E"/>
    <w:rsid w:val="002C487D"/>
    <w:rsid w:val="002C5AB9"/>
    <w:rsid w:val="002C66CB"/>
    <w:rsid w:val="002C73DD"/>
    <w:rsid w:val="002F5278"/>
    <w:rsid w:val="00300C2F"/>
    <w:rsid w:val="00306939"/>
    <w:rsid w:val="003111CE"/>
    <w:rsid w:val="00313514"/>
    <w:rsid w:val="0031451B"/>
    <w:rsid w:val="00325938"/>
    <w:rsid w:val="003311A5"/>
    <w:rsid w:val="003406F7"/>
    <w:rsid w:val="00351EE3"/>
    <w:rsid w:val="00352E10"/>
    <w:rsid w:val="00360E4F"/>
    <w:rsid w:val="00364CC7"/>
    <w:rsid w:val="00366DF7"/>
    <w:rsid w:val="003905EB"/>
    <w:rsid w:val="003B21C1"/>
    <w:rsid w:val="003B298B"/>
    <w:rsid w:val="003B70EF"/>
    <w:rsid w:val="003C5FB3"/>
    <w:rsid w:val="003C675E"/>
    <w:rsid w:val="003D7D2E"/>
    <w:rsid w:val="003E3137"/>
    <w:rsid w:val="003F05C6"/>
    <w:rsid w:val="00400BA0"/>
    <w:rsid w:val="00404466"/>
    <w:rsid w:val="00440BF2"/>
    <w:rsid w:val="004503E3"/>
    <w:rsid w:val="00452784"/>
    <w:rsid w:val="00454375"/>
    <w:rsid w:val="00474CE0"/>
    <w:rsid w:val="00474EE2"/>
    <w:rsid w:val="0047587D"/>
    <w:rsid w:val="00483287"/>
    <w:rsid w:val="00487535"/>
    <w:rsid w:val="00490CF0"/>
    <w:rsid w:val="00493EDE"/>
    <w:rsid w:val="0049614F"/>
    <w:rsid w:val="004A0021"/>
    <w:rsid w:val="004A5511"/>
    <w:rsid w:val="004A6B83"/>
    <w:rsid w:val="004C0D60"/>
    <w:rsid w:val="004C711B"/>
    <w:rsid w:val="004D2025"/>
    <w:rsid w:val="004E69ED"/>
    <w:rsid w:val="004F7394"/>
    <w:rsid w:val="00502654"/>
    <w:rsid w:val="00503C61"/>
    <w:rsid w:val="00505FA2"/>
    <w:rsid w:val="005064ED"/>
    <w:rsid w:val="00507063"/>
    <w:rsid w:val="005129B3"/>
    <w:rsid w:val="0052636E"/>
    <w:rsid w:val="00530285"/>
    <w:rsid w:val="005324EE"/>
    <w:rsid w:val="005529D0"/>
    <w:rsid w:val="005536FD"/>
    <w:rsid w:val="0055738C"/>
    <w:rsid w:val="005574FA"/>
    <w:rsid w:val="005577D2"/>
    <w:rsid w:val="00562906"/>
    <w:rsid w:val="0056585C"/>
    <w:rsid w:val="0057347C"/>
    <w:rsid w:val="00574FF9"/>
    <w:rsid w:val="00593C34"/>
    <w:rsid w:val="005B30EA"/>
    <w:rsid w:val="005C2CC5"/>
    <w:rsid w:val="005C34E0"/>
    <w:rsid w:val="005C6A0A"/>
    <w:rsid w:val="005E27B5"/>
    <w:rsid w:val="005F0E94"/>
    <w:rsid w:val="005F19D6"/>
    <w:rsid w:val="005F3CBB"/>
    <w:rsid w:val="006025EF"/>
    <w:rsid w:val="00607A78"/>
    <w:rsid w:val="00615001"/>
    <w:rsid w:val="006201E2"/>
    <w:rsid w:val="00625113"/>
    <w:rsid w:val="006324A1"/>
    <w:rsid w:val="00644992"/>
    <w:rsid w:val="00647695"/>
    <w:rsid w:val="00650DDC"/>
    <w:rsid w:val="00651B8C"/>
    <w:rsid w:val="00654423"/>
    <w:rsid w:val="00661A42"/>
    <w:rsid w:val="00672AFF"/>
    <w:rsid w:val="00684DD5"/>
    <w:rsid w:val="00685D27"/>
    <w:rsid w:val="00686BCF"/>
    <w:rsid w:val="00686E6F"/>
    <w:rsid w:val="00687C55"/>
    <w:rsid w:val="00690C19"/>
    <w:rsid w:val="00692F5C"/>
    <w:rsid w:val="00696DBC"/>
    <w:rsid w:val="006A29CE"/>
    <w:rsid w:val="006A5396"/>
    <w:rsid w:val="006C1EB2"/>
    <w:rsid w:val="006D0A62"/>
    <w:rsid w:val="006D24EF"/>
    <w:rsid w:val="006D4716"/>
    <w:rsid w:val="006D5D89"/>
    <w:rsid w:val="006D6F6F"/>
    <w:rsid w:val="006E0AA9"/>
    <w:rsid w:val="006E29AA"/>
    <w:rsid w:val="006E5D86"/>
    <w:rsid w:val="006E6093"/>
    <w:rsid w:val="006F6787"/>
    <w:rsid w:val="00703851"/>
    <w:rsid w:val="007045DF"/>
    <w:rsid w:val="00712AC6"/>
    <w:rsid w:val="00714C72"/>
    <w:rsid w:val="00714D31"/>
    <w:rsid w:val="00725152"/>
    <w:rsid w:val="00727C07"/>
    <w:rsid w:val="00732CA9"/>
    <w:rsid w:val="00732F66"/>
    <w:rsid w:val="00733EA8"/>
    <w:rsid w:val="007341B4"/>
    <w:rsid w:val="00735384"/>
    <w:rsid w:val="007446FB"/>
    <w:rsid w:val="00745EC0"/>
    <w:rsid w:val="0074605A"/>
    <w:rsid w:val="00770DB7"/>
    <w:rsid w:val="0078048E"/>
    <w:rsid w:val="0078643A"/>
    <w:rsid w:val="00793C84"/>
    <w:rsid w:val="007A039C"/>
    <w:rsid w:val="007C1C7F"/>
    <w:rsid w:val="007C47CF"/>
    <w:rsid w:val="007C657C"/>
    <w:rsid w:val="007D2EF9"/>
    <w:rsid w:val="007D3FE3"/>
    <w:rsid w:val="007D5D17"/>
    <w:rsid w:val="007E6139"/>
    <w:rsid w:val="007F0BF9"/>
    <w:rsid w:val="007F19F4"/>
    <w:rsid w:val="007F2A12"/>
    <w:rsid w:val="007F3D9D"/>
    <w:rsid w:val="00804172"/>
    <w:rsid w:val="00806A09"/>
    <w:rsid w:val="00807C18"/>
    <w:rsid w:val="008144D2"/>
    <w:rsid w:val="0081692C"/>
    <w:rsid w:val="00833118"/>
    <w:rsid w:val="00836A6C"/>
    <w:rsid w:val="00840681"/>
    <w:rsid w:val="00841B30"/>
    <w:rsid w:val="00845BAC"/>
    <w:rsid w:val="0085382A"/>
    <w:rsid w:val="008604D5"/>
    <w:rsid w:val="00861A90"/>
    <w:rsid w:val="00865C9B"/>
    <w:rsid w:val="008676F8"/>
    <w:rsid w:val="008756F1"/>
    <w:rsid w:val="00875CD6"/>
    <w:rsid w:val="00875FE3"/>
    <w:rsid w:val="00880C3E"/>
    <w:rsid w:val="008823BD"/>
    <w:rsid w:val="0088269A"/>
    <w:rsid w:val="00884056"/>
    <w:rsid w:val="008914E0"/>
    <w:rsid w:val="008965CE"/>
    <w:rsid w:val="008D275E"/>
    <w:rsid w:val="008D6FE6"/>
    <w:rsid w:val="008E4798"/>
    <w:rsid w:val="0091042B"/>
    <w:rsid w:val="00912A5F"/>
    <w:rsid w:val="009164A7"/>
    <w:rsid w:val="009175DE"/>
    <w:rsid w:val="00921020"/>
    <w:rsid w:val="009372F6"/>
    <w:rsid w:val="0094425E"/>
    <w:rsid w:val="00945786"/>
    <w:rsid w:val="0095738D"/>
    <w:rsid w:val="00963429"/>
    <w:rsid w:val="00967453"/>
    <w:rsid w:val="0096790C"/>
    <w:rsid w:val="009711BB"/>
    <w:rsid w:val="009761B9"/>
    <w:rsid w:val="00977274"/>
    <w:rsid w:val="00977730"/>
    <w:rsid w:val="009840F6"/>
    <w:rsid w:val="00985609"/>
    <w:rsid w:val="00986FE4"/>
    <w:rsid w:val="009877C5"/>
    <w:rsid w:val="00990561"/>
    <w:rsid w:val="00991B89"/>
    <w:rsid w:val="009A421E"/>
    <w:rsid w:val="009B5050"/>
    <w:rsid w:val="009C1E90"/>
    <w:rsid w:val="009E5AB7"/>
    <w:rsid w:val="009F3872"/>
    <w:rsid w:val="009F4A32"/>
    <w:rsid w:val="00A01EE5"/>
    <w:rsid w:val="00A0358B"/>
    <w:rsid w:val="00A037D2"/>
    <w:rsid w:val="00A16E21"/>
    <w:rsid w:val="00A20C9B"/>
    <w:rsid w:val="00A2288D"/>
    <w:rsid w:val="00A247AD"/>
    <w:rsid w:val="00A30EA9"/>
    <w:rsid w:val="00A4243B"/>
    <w:rsid w:val="00A46511"/>
    <w:rsid w:val="00A50EB5"/>
    <w:rsid w:val="00A53235"/>
    <w:rsid w:val="00A70395"/>
    <w:rsid w:val="00A71900"/>
    <w:rsid w:val="00A72600"/>
    <w:rsid w:val="00A83317"/>
    <w:rsid w:val="00A84C66"/>
    <w:rsid w:val="00A95F23"/>
    <w:rsid w:val="00A978F6"/>
    <w:rsid w:val="00AB1761"/>
    <w:rsid w:val="00AB58CF"/>
    <w:rsid w:val="00AC20D4"/>
    <w:rsid w:val="00AC48EE"/>
    <w:rsid w:val="00AC7CFB"/>
    <w:rsid w:val="00AD05D2"/>
    <w:rsid w:val="00AD13F3"/>
    <w:rsid w:val="00AD15D0"/>
    <w:rsid w:val="00AE7A76"/>
    <w:rsid w:val="00AF11B2"/>
    <w:rsid w:val="00AF1DDF"/>
    <w:rsid w:val="00B0500D"/>
    <w:rsid w:val="00B42DAD"/>
    <w:rsid w:val="00B5292E"/>
    <w:rsid w:val="00B6065D"/>
    <w:rsid w:val="00B63F43"/>
    <w:rsid w:val="00B67A18"/>
    <w:rsid w:val="00B67C7E"/>
    <w:rsid w:val="00B67EA6"/>
    <w:rsid w:val="00B752B5"/>
    <w:rsid w:val="00B81628"/>
    <w:rsid w:val="00B82BF9"/>
    <w:rsid w:val="00B84ACF"/>
    <w:rsid w:val="00B86BB7"/>
    <w:rsid w:val="00B952A3"/>
    <w:rsid w:val="00B9569B"/>
    <w:rsid w:val="00BA1399"/>
    <w:rsid w:val="00BA1409"/>
    <w:rsid w:val="00BA6FD4"/>
    <w:rsid w:val="00BB0A98"/>
    <w:rsid w:val="00BB5CB7"/>
    <w:rsid w:val="00BC02A8"/>
    <w:rsid w:val="00BC1C74"/>
    <w:rsid w:val="00BC2CBF"/>
    <w:rsid w:val="00BC2D0C"/>
    <w:rsid w:val="00BC3D57"/>
    <w:rsid w:val="00BC3E57"/>
    <w:rsid w:val="00BD34B2"/>
    <w:rsid w:val="00BE09CA"/>
    <w:rsid w:val="00BF15B0"/>
    <w:rsid w:val="00BF428E"/>
    <w:rsid w:val="00C00AA5"/>
    <w:rsid w:val="00C00D38"/>
    <w:rsid w:val="00C14DAB"/>
    <w:rsid w:val="00C272BD"/>
    <w:rsid w:val="00C32B4F"/>
    <w:rsid w:val="00C370DF"/>
    <w:rsid w:val="00C479A5"/>
    <w:rsid w:val="00C47C9B"/>
    <w:rsid w:val="00C53ACD"/>
    <w:rsid w:val="00C61DD8"/>
    <w:rsid w:val="00C66852"/>
    <w:rsid w:val="00C73D59"/>
    <w:rsid w:val="00C73D7C"/>
    <w:rsid w:val="00C74AB0"/>
    <w:rsid w:val="00C922B8"/>
    <w:rsid w:val="00C9248E"/>
    <w:rsid w:val="00C92559"/>
    <w:rsid w:val="00CA65A9"/>
    <w:rsid w:val="00CB631D"/>
    <w:rsid w:val="00CE0FB6"/>
    <w:rsid w:val="00CE23D7"/>
    <w:rsid w:val="00CE590B"/>
    <w:rsid w:val="00CF0F91"/>
    <w:rsid w:val="00CF3E57"/>
    <w:rsid w:val="00D010DC"/>
    <w:rsid w:val="00D1274C"/>
    <w:rsid w:val="00D16742"/>
    <w:rsid w:val="00D340EE"/>
    <w:rsid w:val="00D446F1"/>
    <w:rsid w:val="00D50999"/>
    <w:rsid w:val="00D51B2F"/>
    <w:rsid w:val="00D52113"/>
    <w:rsid w:val="00D56CBD"/>
    <w:rsid w:val="00D66945"/>
    <w:rsid w:val="00D77740"/>
    <w:rsid w:val="00D80083"/>
    <w:rsid w:val="00D811E5"/>
    <w:rsid w:val="00D83F29"/>
    <w:rsid w:val="00D86300"/>
    <w:rsid w:val="00DA1537"/>
    <w:rsid w:val="00DA263F"/>
    <w:rsid w:val="00DB12E6"/>
    <w:rsid w:val="00DB6EEB"/>
    <w:rsid w:val="00DC0755"/>
    <w:rsid w:val="00DC09B8"/>
    <w:rsid w:val="00DD166C"/>
    <w:rsid w:val="00DD1AAC"/>
    <w:rsid w:val="00DD433A"/>
    <w:rsid w:val="00DD5BAA"/>
    <w:rsid w:val="00DE43DF"/>
    <w:rsid w:val="00DE799C"/>
    <w:rsid w:val="00DF4FDE"/>
    <w:rsid w:val="00E02EF2"/>
    <w:rsid w:val="00E1550D"/>
    <w:rsid w:val="00E24003"/>
    <w:rsid w:val="00E25257"/>
    <w:rsid w:val="00E25CC5"/>
    <w:rsid w:val="00E32543"/>
    <w:rsid w:val="00E3316F"/>
    <w:rsid w:val="00E34FAF"/>
    <w:rsid w:val="00E51BFE"/>
    <w:rsid w:val="00E62DC3"/>
    <w:rsid w:val="00E679D0"/>
    <w:rsid w:val="00E76C34"/>
    <w:rsid w:val="00E833DC"/>
    <w:rsid w:val="00E83DF4"/>
    <w:rsid w:val="00E85F25"/>
    <w:rsid w:val="00EA201D"/>
    <w:rsid w:val="00EB357E"/>
    <w:rsid w:val="00EB3659"/>
    <w:rsid w:val="00EC24DC"/>
    <w:rsid w:val="00EC27F0"/>
    <w:rsid w:val="00EC75A6"/>
    <w:rsid w:val="00EE3050"/>
    <w:rsid w:val="00EE5077"/>
    <w:rsid w:val="00EF4BC9"/>
    <w:rsid w:val="00EF75F8"/>
    <w:rsid w:val="00F142DE"/>
    <w:rsid w:val="00F33431"/>
    <w:rsid w:val="00F340A5"/>
    <w:rsid w:val="00F37399"/>
    <w:rsid w:val="00F40B24"/>
    <w:rsid w:val="00F42B8B"/>
    <w:rsid w:val="00F53180"/>
    <w:rsid w:val="00F62D98"/>
    <w:rsid w:val="00F72CE5"/>
    <w:rsid w:val="00F743FD"/>
    <w:rsid w:val="00F9372B"/>
    <w:rsid w:val="00F9731E"/>
    <w:rsid w:val="00FA5EA9"/>
    <w:rsid w:val="00FB1F04"/>
    <w:rsid w:val="00FC1D0E"/>
    <w:rsid w:val="00FD32F6"/>
    <w:rsid w:val="00FD43D3"/>
    <w:rsid w:val="00FD4621"/>
    <w:rsid w:val="00FE749F"/>
    <w:rsid w:val="00FF1CEC"/>
    <w:rsid w:val="00FF4B41"/>
    <w:rsid w:val="17F2BE96"/>
    <w:rsid w:val="24078BD4"/>
    <w:rsid w:val="73F0B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5B8B8"/>
  <w15:docId w15:val="{E6139D1E-D986-4FCD-8860-65FD4F2F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87D"/>
    <w:pPr>
      <w:keepNext/>
      <w:keepLines/>
      <w:spacing w:after="120" w:line="240" w:lineRule="auto"/>
      <w:outlineLvl w:val="0"/>
    </w:pPr>
    <w:rPr>
      <w:rFonts w:eastAsiaTheme="majorEastAsia" w:cstheme="majorBidi"/>
      <w:b/>
      <w:bCs/>
      <w:color w:val="00645C"/>
      <w:sz w:val="28"/>
      <w:szCs w:val="28"/>
    </w:rPr>
  </w:style>
  <w:style w:type="paragraph" w:styleId="Heading2">
    <w:name w:val="heading 2"/>
    <w:basedOn w:val="Normal"/>
    <w:next w:val="Normal"/>
    <w:link w:val="Heading2Char"/>
    <w:uiPriority w:val="9"/>
    <w:unhideWhenUsed/>
    <w:qFormat/>
    <w:rsid w:val="00BC1C74"/>
    <w:pPr>
      <w:spacing w:line="240" w:lineRule="auto"/>
      <w:outlineLvl w:val="1"/>
    </w:pPr>
    <w:rPr>
      <w:rFonts w:cs="Arial"/>
      <w:b/>
      <w:color w:val="0064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CE0"/>
    <w:pPr>
      <w:tabs>
        <w:tab w:val="center" w:pos="4513"/>
        <w:tab w:val="right" w:pos="9026"/>
      </w:tabs>
      <w:spacing w:line="240" w:lineRule="auto"/>
    </w:pPr>
  </w:style>
  <w:style w:type="character" w:customStyle="1" w:styleId="HeaderChar">
    <w:name w:val="Header Char"/>
    <w:basedOn w:val="DefaultParagraphFont"/>
    <w:link w:val="Header"/>
    <w:uiPriority w:val="99"/>
    <w:rsid w:val="00474CE0"/>
  </w:style>
  <w:style w:type="paragraph" w:styleId="Footer">
    <w:name w:val="footer"/>
    <w:basedOn w:val="Normal"/>
    <w:link w:val="FooterChar"/>
    <w:uiPriority w:val="99"/>
    <w:unhideWhenUsed/>
    <w:rsid w:val="00474CE0"/>
    <w:pPr>
      <w:tabs>
        <w:tab w:val="center" w:pos="4513"/>
        <w:tab w:val="right" w:pos="9026"/>
      </w:tabs>
      <w:spacing w:line="240" w:lineRule="auto"/>
    </w:pPr>
  </w:style>
  <w:style w:type="character" w:customStyle="1" w:styleId="FooterChar">
    <w:name w:val="Footer Char"/>
    <w:basedOn w:val="DefaultParagraphFont"/>
    <w:link w:val="Footer"/>
    <w:uiPriority w:val="99"/>
    <w:rsid w:val="00474CE0"/>
  </w:style>
  <w:style w:type="character" w:customStyle="1" w:styleId="Heading1Char">
    <w:name w:val="Heading 1 Char"/>
    <w:basedOn w:val="DefaultParagraphFont"/>
    <w:link w:val="Heading1"/>
    <w:uiPriority w:val="9"/>
    <w:rsid w:val="002C487D"/>
    <w:rPr>
      <w:rFonts w:eastAsiaTheme="majorEastAsia" w:cstheme="majorBidi"/>
      <w:b/>
      <w:bCs/>
      <w:color w:val="00645C"/>
      <w:sz w:val="28"/>
      <w:szCs w:val="28"/>
    </w:rPr>
  </w:style>
  <w:style w:type="paragraph" w:styleId="ListParagraph">
    <w:name w:val="List Paragraph"/>
    <w:aliases w:val="F5 List Paragraph,Indent Paragraph,Citation List,b1,Colorful List - Accent 11,Number_1,CA bullets,Dot pt,List Paragraph1,No Spacing1,List Paragraph Char Char Char,Indicator Text,Numbered Para 1,Párrafo de lista,MAIN CONTENT"/>
    <w:basedOn w:val="Normal"/>
    <w:link w:val="ListParagraphChar"/>
    <w:uiPriority w:val="34"/>
    <w:qFormat/>
    <w:rsid w:val="00BC1C74"/>
    <w:pPr>
      <w:ind w:left="720"/>
      <w:contextualSpacing/>
    </w:pPr>
  </w:style>
  <w:style w:type="paragraph" w:styleId="BalloonText">
    <w:name w:val="Balloon Text"/>
    <w:basedOn w:val="Normal"/>
    <w:link w:val="BalloonTextChar"/>
    <w:uiPriority w:val="99"/>
    <w:semiHidden/>
    <w:unhideWhenUsed/>
    <w:rsid w:val="00AD13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F3"/>
    <w:rPr>
      <w:rFonts w:ascii="Tahoma" w:hAnsi="Tahoma" w:cs="Tahoma"/>
      <w:sz w:val="16"/>
      <w:szCs w:val="16"/>
    </w:rPr>
  </w:style>
  <w:style w:type="character" w:styleId="CommentReference">
    <w:name w:val="annotation reference"/>
    <w:basedOn w:val="DefaultParagraphFont"/>
    <w:uiPriority w:val="99"/>
    <w:semiHidden/>
    <w:unhideWhenUsed/>
    <w:rsid w:val="00C66852"/>
    <w:rPr>
      <w:sz w:val="16"/>
      <w:szCs w:val="16"/>
    </w:rPr>
  </w:style>
  <w:style w:type="paragraph" w:styleId="CommentText">
    <w:name w:val="annotation text"/>
    <w:basedOn w:val="Normal"/>
    <w:link w:val="CommentTextChar"/>
    <w:uiPriority w:val="99"/>
    <w:unhideWhenUsed/>
    <w:rsid w:val="00C66852"/>
    <w:pPr>
      <w:spacing w:line="240" w:lineRule="auto"/>
    </w:pPr>
    <w:rPr>
      <w:szCs w:val="20"/>
    </w:rPr>
  </w:style>
  <w:style w:type="character" w:customStyle="1" w:styleId="CommentTextChar">
    <w:name w:val="Comment Text Char"/>
    <w:basedOn w:val="DefaultParagraphFont"/>
    <w:link w:val="CommentText"/>
    <w:uiPriority w:val="99"/>
    <w:rsid w:val="00C66852"/>
    <w:rPr>
      <w:szCs w:val="20"/>
    </w:rPr>
  </w:style>
  <w:style w:type="paragraph" w:styleId="CommentSubject">
    <w:name w:val="annotation subject"/>
    <w:basedOn w:val="CommentText"/>
    <w:next w:val="CommentText"/>
    <w:link w:val="CommentSubjectChar"/>
    <w:uiPriority w:val="99"/>
    <w:semiHidden/>
    <w:unhideWhenUsed/>
    <w:rsid w:val="00C66852"/>
    <w:rPr>
      <w:b/>
      <w:bCs/>
    </w:rPr>
  </w:style>
  <w:style w:type="character" w:customStyle="1" w:styleId="CommentSubjectChar">
    <w:name w:val="Comment Subject Char"/>
    <w:basedOn w:val="CommentTextChar"/>
    <w:link w:val="CommentSubject"/>
    <w:uiPriority w:val="99"/>
    <w:semiHidden/>
    <w:rsid w:val="00C66852"/>
    <w:rPr>
      <w:b/>
      <w:bCs/>
      <w:szCs w:val="20"/>
    </w:rPr>
  </w:style>
  <w:style w:type="character" w:customStyle="1" w:styleId="Heading2Char">
    <w:name w:val="Heading 2 Char"/>
    <w:basedOn w:val="DefaultParagraphFont"/>
    <w:link w:val="Heading2"/>
    <w:uiPriority w:val="9"/>
    <w:rsid w:val="00BC1C74"/>
    <w:rPr>
      <w:rFonts w:cs="Arial"/>
      <w:b/>
      <w:color w:val="00645C"/>
    </w:rPr>
  </w:style>
  <w:style w:type="paragraph" w:styleId="NormalWeb">
    <w:name w:val="Normal (Web)"/>
    <w:basedOn w:val="Normal"/>
    <w:uiPriority w:val="99"/>
    <w:rsid w:val="00DB12E6"/>
    <w:pPr>
      <w:spacing w:before="100" w:beforeAutospacing="1" w:after="100" w:afterAutospacing="1" w:line="240" w:lineRule="auto"/>
    </w:pPr>
    <w:rPr>
      <w:rFonts w:ascii="Times New Roman" w:eastAsia="Times New Roman" w:hAnsi="Times New Roman" w:cs="Arial"/>
      <w:sz w:val="24"/>
      <w:szCs w:val="24"/>
      <w:lang w:eastAsia="en-GB"/>
    </w:rPr>
  </w:style>
  <w:style w:type="paragraph" w:styleId="EndnoteText">
    <w:name w:val="endnote text"/>
    <w:basedOn w:val="Normal"/>
    <w:link w:val="EndnoteTextChar"/>
    <w:uiPriority w:val="99"/>
    <w:semiHidden/>
    <w:unhideWhenUsed/>
    <w:rsid w:val="000770B3"/>
    <w:pPr>
      <w:spacing w:line="240" w:lineRule="auto"/>
    </w:pPr>
    <w:rPr>
      <w:szCs w:val="20"/>
    </w:rPr>
  </w:style>
  <w:style w:type="character" w:customStyle="1" w:styleId="EndnoteTextChar">
    <w:name w:val="Endnote Text Char"/>
    <w:basedOn w:val="DefaultParagraphFont"/>
    <w:link w:val="EndnoteText"/>
    <w:uiPriority w:val="99"/>
    <w:semiHidden/>
    <w:rsid w:val="000770B3"/>
    <w:rPr>
      <w:szCs w:val="20"/>
    </w:rPr>
  </w:style>
  <w:style w:type="character" w:styleId="EndnoteReference">
    <w:name w:val="endnote reference"/>
    <w:basedOn w:val="DefaultParagraphFont"/>
    <w:uiPriority w:val="99"/>
    <w:semiHidden/>
    <w:unhideWhenUsed/>
    <w:rsid w:val="000770B3"/>
    <w:rPr>
      <w:vertAlign w:val="superscript"/>
    </w:rPr>
  </w:style>
  <w:style w:type="paragraph" w:styleId="FootnoteText">
    <w:name w:val="footnote text"/>
    <w:basedOn w:val="Normal"/>
    <w:link w:val="FootnoteTextChar"/>
    <w:uiPriority w:val="99"/>
    <w:unhideWhenUsed/>
    <w:rsid w:val="000770B3"/>
    <w:pPr>
      <w:spacing w:line="240" w:lineRule="auto"/>
    </w:pPr>
    <w:rPr>
      <w:szCs w:val="20"/>
    </w:rPr>
  </w:style>
  <w:style w:type="character" w:customStyle="1" w:styleId="FootnoteTextChar">
    <w:name w:val="Footnote Text Char"/>
    <w:basedOn w:val="DefaultParagraphFont"/>
    <w:link w:val="FootnoteText"/>
    <w:uiPriority w:val="99"/>
    <w:rsid w:val="000770B3"/>
    <w:rPr>
      <w:szCs w:val="20"/>
    </w:rPr>
  </w:style>
  <w:style w:type="character" w:styleId="FootnoteReference">
    <w:name w:val="footnote reference"/>
    <w:basedOn w:val="DefaultParagraphFont"/>
    <w:uiPriority w:val="99"/>
    <w:unhideWhenUsed/>
    <w:rsid w:val="000770B3"/>
    <w:rPr>
      <w:vertAlign w:val="superscript"/>
    </w:rPr>
  </w:style>
  <w:style w:type="character" w:customStyle="1" w:styleId="ListParagraphChar">
    <w:name w:val="List Paragraph Char"/>
    <w:aliases w:val="F5 List Paragraph Char,Indent Paragraph Char,Citation List Char,b1 Char,Colorful List - Accent 11 Char,Number_1 Char,CA bullets Char,Dot pt Char,List Paragraph1 Char,No Spacing1 Char,List Paragraph Char Char Char Char"/>
    <w:basedOn w:val="DefaultParagraphFont"/>
    <w:link w:val="ListParagraph"/>
    <w:uiPriority w:val="34"/>
    <w:locked/>
    <w:rsid w:val="00C74AB0"/>
  </w:style>
  <w:style w:type="paragraph" w:styleId="Revision">
    <w:name w:val="Revision"/>
    <w:hidden/>
    <w:uiPriority w:val="99"/>
    <w:semiHidden/>
    <w:rsid w:val="00A46511"/>
    <w:pPr>
      <w:spacing w:line="240" w:lineRule="auto"/>
    </w:pPr>
  </w:style>
  <w:style w:type="paragraph" w:customStyle="1" w:styleId="TableParagraph">
    <w:name w:val="Table Paragraph"/>
    <w:basedOn w:val="Normal"/>
    <w:uiPriority w:val="1"/>
    <w:qFormat/>
    <w:rsid w:val="001A3587"/>
    <w:pPr>
      <w:widowControl w:val="0"/>
      <w:autoSpaceDE w:val="0"/>
      <w:autoSpaceDN w:val="0"/>
      <w:spacing w:line="240" w:lineRule="auto"/>
      <w:ind w:left="107"/>
    </w:pPr>
    <w:rPr>
      <w:rFonts w:eastAsia="Arial" w:cs="Arial"/>
      <w:sz w:val="22"/>
      <w:lang w:val="en-US"/>
    </w:rPr>
  </w:style>
  <w:style w:type="character" w:styleId="Hyperlink">
    <w:name w:val="Hyperlink"/>
    <w:basedOn w:val="DefaultParagraphFont"/>
    <w:uiPriority w:val="99"/>
    <w:unhideWhenUsed/>
    <w:rsid w:val="00A0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6053">
      <w:bodyDiv w:val="1"/>
      <w:marLeft w:val="0"/>
      <w:marRight w:val="0"/>
      <w:marTop w:val="0"/>
      <w:marBottom w:val="0"/>
      <w:divBdr>
        <w:top w:val="none" w:sz="0" w:space="0" w:color="auto"/>
        <w:left w:val="none" w:sz="0" w:space="0" w:color="auto"/>
        <w:bottom w:val="none" w:sz="0" w:space="0" w:color="auto"/>
        <w:right w:val="none" w:sz="0" w:space="0" w:color="auto"/>
      </w:divBdr>
    </w:div>
    <w:div w:id="409544258">
      <w:bodyDiv w:val="1"/>
      <w:marLeft w:val="0"/>
      <w:marRight w:val="0"/>
      <w:marTop w:val="0"/>
      <w:marBottom w:val="0"/>
      <w:divBdr>
        <w:top w:val="none" w:sz="0" w:space="0" w:color="auto"/>
        <w:left w:val="none" w:sz="0" w:space="0" w:color="auto"/>
        <w:bottom w:val="none" w:sz="0" w:space="0" w:color="auto"/>
        <w:right w:val="none" w:sz="0" w:space="0" w:color="auto"/>
      </w:divBdr>
    </w:div>
    <w:div w:id="430274528">
      <w:bodyDiv w:val="1"/>
      <w:marLeft w:val="0"/>
      <w:marRight w:val="0"/>
      <w:marTop w:val="0"/>
      <w:marBottom w:val="0"/>
      <w:divBdr>
        <w:top w:val="none" w:sz="0" w:space="0" w:color="auto"/>
        <w:left w:val="none" w:sz="0" w:space="0" w:color="auto"/>
        <w:bottom w:val="none" w:sz="0" w:space="0" w:color="auto"/>
        <w:right w:val="none" w:sz="0" w:space="0" w:color="auto"/>
      </w:divBdr>
    </w:div>
    <w:div w:id="17504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phealth.com/work-with-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EDB307B42F949BACA8E3CC9DD5213" ma:contentTypeVersion="8" ma:contentTypeDescription="Create a new document." ma:contentTypeScope="" ma:versionID="2d48f6797e15c749cbc998e59972e9f6">
  <xsd:schema xmlns:xsd="http://www.w3.org/2001/XMLSchema" xmlns:xs="http://www.w3.org/2001/XMLSchema" xmlns:p="http://schemas.microsoft.com/office/2006/metadata/properties" xmlns:ns2="61120878-5503-473c-9075-3d41b3069ae1" targetNamespace="http://schemas.microsoft.com/office/2006/metadata/properties" ma:root="true" ma:fieldsID="3dcbf4db1463838e1dfc77d08e3f5435" ns2:_="">
    <xsd:import namespace="61120878-5503-473c-9075-3d41b3069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0878-5503-473c-9075-3d41b3069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DF5AC-8FAE-461D-AADB-1FB63969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0878-5503-473c-9075-3d41b3069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B66D1-2DB6-4D86-A4BC-2E518AE38E4B}">
  <ds:schemaRefs>
    <ds:schemaRef ds:uri="http://schemas.openxmlformats.org/officeDocument/2006/bibliography"/>
  </ds:schemaRefs>
</ds:datastoreItem>
</file>

<file path=customXml/itemProps3.xml><?xml version="1.0" encoding="utf-8"?>
<ds:datastoreItem xmlns:ds="http://schemas.openxmlformats.org/officeDocument/2006/customXml" ds:itemID="{6AC81F43-6146-4043-AFA7-7542DC1530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BD07D-1BEA-4F24-B966-047566912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Conrad</dc:creator>
  <cp:lastModifiedBy>Katie Nield | Tropical Health</cp:lastModifiedBy>
  <cp:revision>8</cp:revision>
  <cp:lastPrinted>2020-12-07T16:41:00Z</cp:lastPrinted>
  <dcterms:created xsi:type="dcterms:W3CDTF">2020-12-23T11:59:00Z</dcterms:created>
  <dcterms:modified xsi:type="dcterms:W3CDTF">2021-03-01T17:14:00Z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0x010100237EDB307B42F949BACA8E3CC9DD5213</vt:lpwstr>
  </property>
  <property fmtid="{D5CDD505-2E9C-101B-9397-08002B2CF9AE}" pid="3" name="Order">
    <vt:r8>800</vt:r8>
  </property>
</Properties>
</file>